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CD" w:rsidRDefault="007F25B4" w:rsidP="00AE77CD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Clinical </w:t>
      </w:r>
      <w:r w:rsidR="00710833">
        <w:rPr>
          <w:b/>
          <w:sz w:val="36"/>
          <w:szCs w:val="36"/>
        </w:rPr>
        <w:t xml:space="preserve">Utility </w:t>
      </w:r>
      <w:r>
        <w:rPr>
          <w:b/>
          <w:sz w:val="36"/>
          <w:szCs w:val="36"/>
        </w:rPr>
        <w:t>of Diagnostic Exom</w:t>
      </w:r>
      <w:r w:rsidR="00EF1A10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 xml:space="preserve"> Sequencing in </w:t>
      </w:r>
      <w:r w:rsidR="001728A9">
        <w:rPr>
          <w:b/>
          <w:sz w:val="36"/>
          <w:szCs w:val="36"/>
        </w:rPr>
        <w:t xml:space="preserve">Hereditary </w:t>
      </w:r>
      <w:r>
        <w:rPr>
          <w:b/>
          <w:sz w:val="36"/>
          <w:szCs w:val="36"/>
        </w:rPr>
        <w:t>Cancer</w:t>
      </w:r>
    </w:p>
    <w:p w:rsidR="00EF4486" w:rsidRDefault="00EF4486" w:rsidP="00AE77C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Zöe Powis, </w:t>
      </w:r>
      <w:r w:rsidR="00F31F78" w:rsidRPr="00606C7C">
        <w:rPr>
          <w:b/>
          <w:sz w:val="36"/>
          <w:szCs w:val="36"/>
        </w:rPr>
        <w:t xml:space="preserve">Holly </w:t>
      </w:r>
      <w:r w:rsidR="00F31F78">
        <w:rPr>
          <w:b/>
          <w:sz w:val="36"/>
          <w:szCs w:val="36"/>
        </w:rPr>
        <w:t>LaD</w:t>
      </w:r>
      <w:r w:rsidR="00F31F78" w:rsidRPr="00606C7C">
        <w:rPr>
          <w:b/>
          <w:sz w:val="36"/>
          <w:szCs w:val="36"/>
        </w:rPr>
        <w:t>uca</w:t>
      </w:r>
      <w:r w:rsidR="00F31F78">
        <w:rPr>
          <w:b/>
          <w:sz w:val="36"/>
          <w:szCs w:val="36"/>
        </w:rPr>
        <w:t xml:space="preserve">, </w:t>
      </w:r>
      <w:r w:rsidR="00606C7C">
        <w:rPr>
          <w:b/>
          <w:sz w:val="36"/>
          <w:szCs w:val="36"/>
        </w:rPr>
        <w:t xml:space="preserve">Tripti </w:t>
      </w:r>
      <w:r w:rsidR="00606C7C" w:rsidRPr="00606C7C">
        <w:rPr>
          <w:b/>
          <w:sz w:val="36"/>
          <w:szCs w:val="36"/>
        </w:rPr>
        <w:t xml:space="preserve">Paudyal, </w:t>
      </w:r>
      <w:r w:rsidR="00C33C93">
        <w:rPr>
          <w:b/>
          <w:sz w:val="36"/>
          <w:szCs w:val="36"/>
        </w:rPr>
        <w:t>Shuwei Li,</w:t>
      </w:r>
      <w:r w:rsidR="00606C7C" w:rsidRPr="00606C7C">
        <w:rPr>
          <w:b/>
          <w:sz w:val="36"/>
          <w:szCs w:val="36"/>
        </w:rPr>
        <w:t xml:space="preserve"> </w:t>
      </w:r>
      <w:r w:rsidR="00950243">
        <w:rPr>
          <w:b/>
          <w:sz w:val="36"/>
          <w:szCs w:val="36"/>
        </w:rPr>
        <w:t xml:space="preserve">Kelly Hagman,  </w:t>
      </w:r>
      <w:r w:rsidR="00606C7C" w:rsidRPr="00606C7C">
        <w:rPr>
          <w:b/>
          <w:sz w:val="36"/>
          <w:szCs w:val="36"/>
        </w:rPr>
        <w:t>Sha Tang</w:t>
      </w:r>
    </w:p>
    <w:p w:rsidR="00AE77CD" w:rsidRDefault="00AE77CD" w:rsidP="00A62723">
      <w:pPr>
        <w:spacing w:after="0" w:line="240" w:lineRule="auto"/>
        <w:jc w:val="both"/>
      </w:pPr>
      <w:r>
        <w:rPr>
          <w:b/>
        </w:rPr>
        <w:t>Background</w:t>
      </w:r>
      <w:r>
        <w:t xml:space="preserve">: Since 2011, diagnostic exome sequencing (DES) </w:t>
      </w:r>
      <w:r w:rsidRPr="00AE77CD">
        <w:t xml:space="preserve">has </w:t>
      </w:r>
      <w:r>
        <w:t>been</w:t>
      </w:r>
      <w:r w:rsidRPr="00AE77CD">
        <w:t xml:space="preserve"> instrumental in providing </w:t>
      </w:r>
      <w:r w:rsidR="00F255D8">
        <w:t xml:space="preserve">a </w:t>
      </w:r>
      <w:r w:rsidRPr="00AE77CD">
        <w:t xml:space="preserve">diagnosis for patients with </w:t>
      </w:r>
      <w:r w:rsidR="00F255D8">
        <w:t xml:space="preserve">a </w:t>
      </w:r>
      <w:r w:rsidRPr="00AE77CD">
        <w:t>broad spectrum of previously undiagnosed genetic disorders</w:t>
      </w:r>
      <w:r>
        <w:t xml:space="preserve">. </w:t>
      </w:r>
      <w:r w:rsidR="006525F4">
        <w:t>Multigene c</w:t>
      </w:r>
      <w:r w:rsidR="00A7083F">
        <w:t xml:space="preserve">ancer panels have </w:t>
      </w:r>
      <w:r w:rsidR="00F255D8">
        <w:t>successfully</w:t>
      </w:r>
      <w:r w:rsidR="00A7083F">
        <w:t xml:space="preserve"> identif</w:t>
      </w:r>
      <w:r w:rsidR="00F255D8">
        <w:t>ied</w:t>
      </w:r>
      <w:r w:rsidR="00A7083F">
        <w:t xml:space="preserve"> the molecular basis of heritable cancers in a wide variety of cases.</w:t>
      </w:r>
      <w:r>
        <w:t xml:space="preserve"> </w:t>
      </w:r>
      <w:r w:rsidR="00A7083F">
        <w:t xml:space="preserve">When cancer panels fail to identify the </w:t>
      </w:r>
      <w:r w:rsidR="00694E16">
        <w:t xml:space="preserve">mutation(s) in </w:t>
      </w:r>
      <w:r w:rsidR="00A7083F">
        <w:t xml:space="preserve">genes involved in heritable cancers, </w:t>
      </w:r>
      <w:r w:rsidR="007F25B4">
        <w:t xml:space="preserve">clinicians are beginning to utilize </w:t>
      </w:r>
      <w:r w:rsidR="00A7083F">
        <w:t>DES to identify causative germline mutations</w:t>
      </w:r>
      <w:r w:rsidR="00552257">
        <w:t xml:space="preserve">. </w:t>
      </w:r>
      <w:r w:rsidR="00A7083F" w:rsidRPr="00A7083F">
        <w:t xml:space="preserve">This study aimed to assess the </w:t>
      </w:r>
      <w:r w:rsidR="00270D4A">
        <w:t>diagnostic yield</w:t>
      </w:r>
      <w:r w:rsidR="00A7083F" w:rsidRPr="00A7083F">
        <w:t xml:space="preserve"> of DES and characterize pathogenic findings in an unselected laboratory cohort of patients with </w:t>
      </w:r>
      <w:r w:rsidR="00A7083F">
        <w:t xml:space="preserve">a personal </w:t>
      </w:r>
      <w:r w:rsidR="0046067F">
        <w:t xml:space="preserve">and family </w:t>
      </w:r>
      <w:r w:rsidR="00A7083F">
        <w:t>history of cancer</w:t>
      </w:r>
      <w:r w:rsidR="00A7083F" w:rsidRPr="00A7083F">
        <w:t>.</w:t>
      </w:r>
    </w:p>
    <w:p w:rsidR="00A62723" w:rsidRDefault="00A62723" w:rsidP="00A62723">
      <w:pPr>
        <w:spacing w:after="0" w:line="240" w:lineRule="auto"/>
        <w:jc w:val="both"/>
      </w:pPr>
    </w:p>
    <w:p w:rsidR="00AE77CD" w:rsidRDefault="00AE77CD" w:rsidP="00AE77CD">
      <w:r>
        <w:rPr>
          <w:b/>
        </w:rPr>
        <w:t>Methods</w:t>
      </w:r>
      <w:r>
        <w:t xml:space="preserve">: </w:t>
      </w:r>
      <w:r w:rsidR="00E92887">
        <w:t>We</w:t>
      </w:r>
      <w:r>
        <w:t xml:space="preserve"> performed a retrospective analysis of </w:t>
      </w:r>
      <w:r w:rsidR="00F255D8">
        <w:t>1500 consecutive patients</w:t>
      </w:r>
      <w:r>
        <w:t xml:space="preserve"> undergoing DES</w:t>
      </w:r>
      <w:r w:rsidR="006525F4">
        <w:t xml:space="preserve">. </w:t>
      </w:r>
      <w:r w:rsidR="00AB070A">
        <w:t>Overall</w:t>
      </w:r>
      <w:r w:rsidR="00A7083F" w:rsidRPr="00A7083F">
        <w:t xml:space="preserve"> results categories (positive/likely positive, </w:t>
      </w:r>
      <w:r w:rsidR="0054679B">
        <w:t xml:space="preserve">novel, </w:t>
      </w:r>
      <w:r w:rsidR="00A7083F" w:rsidRPr="00A7083F">
        <w:t xml:space="preserve">uncertain, negative) were determined according to predefined diagnostic variant assessment criteria and compared between patients with and without </w:t>
      </w:r>
      <w:r w:rsidR="00A7083F">
        <w:t>a personal history of cancer.</w:t>
      </w:r>
      <w:r w:rsidR="00A62723">
        <w:t xml:space="preserve"> </w:t>
      </w:r>
      <w:r w:rsidR="00A7083F">
        <w:t xml:space="preserve">Cases referred for </w:t>
      </w:r>
      <w:r w:rsidR="001A71E4">
        <w:t>“</w:t>
      </w:r>
      <w:r w:rsidR="00A7083F">
        <w:t>pure</w:t>
      </w:r>
      <w:r w:rsidR="001A71E4">
        <w:t>”</w:t>
      </w:r>
      <w:r w:rsidR="00A7083F">
        <w:t xml:space="preserve"> cancer susceptibility were </w:t>
      </w:r>
      <w:r w:rsidR="006525F4">
        <w:t xml:space="preserve">also </w:t>
      </w:r>
      <w:r w:rsidR="00A7083F">
        <w:t xml:space="preserve">compared to </w:t>
      </w:r>
      <w:r w:rsidR="00FC52C1">
        <w:t xml:space="preserve">“cancer plus” cases </w:t>
      </w:r>
      <w:r w:rsidR="00A7083F">
        <w:t>referred for</w:t>
      </w:r>
      <w:r w:rsidR="0046067F">
        <w:t xml:space="preserve"> cancer histories with</w:t>
      </w:r>
      <w:r w:rsidR="00A7083F">
        <w:t xml:space="preserve"> </w:t>
      </w:r>
      <w:r w:rsidR="00F255D8">
        <w:t>additional findings</w:t>
      </w:r>
      <w:r w:rsidR="00A7083F">
        <w:t xml:space="preserve"> (such as </w:t>
      </w:r>
      <w:r w:rsidR="00F255D8">
        <w:t>autism</w:t>
      </w:r>
      <w:r w:rsidR="00A7083F">
        <w:t>, etc.)</w:t>
      </w:r>
      <w:r w:rsidR="001A71E4">
        <w:t>.</w:t>
      </w:r>
    </w:p>
    <w:p w:rsidR="00ED5555" w:rsidRPr="00152BEC" w:rsidRDefault="00AE77CD" w:rsidP="00ED5555">
      <w:pPr>
        <w:rPr>
          <w:color w:val="8DB3E2" w:themeColor="text2" w:themeTint="66"/>
        </w:rPr>
      </w:pPr>
      <w:r>
        <w:rPr>
          <w:b/>
        </w:rPr>
        <w:t>Results</w:t>
      </w:r>
      <w:r>
        <w:t xml:space="preserve">: </w:t>
      </w:r>
      <w:r w:rsidR="0046067F">
        <w:t>52</w:t>
      </w:r>
      <w:r w:rsidR="00A7083F" w:rsidRPr="00A7083F">
        <w:t>/</w:t>
      </w:r>
      <w:r w:rsidR="00A7083F">
        <w:t>1500</w:t>
      </w:r>
      <w:r w:rsidR="00A7083F" w:rsidRPr="00A7083F">
        <w:t xml:space="preserve"> patients (</w:t>
      </w:r>
      <w:r w:rsidR="0046067F">
        <w:t>3.5</w:t>
      </w:r>
      <w:r w:rsidR="00A7083F" w:rsidRPr="00A7083F">
        <w:t xml:space="preserve">%) had </w:t>
      </w:r>
      <w:r w:rsidR="0046067F">
        <w:t>a</w:t>
      </w:r>
      <w:r w:rsidR="00A7083F">
        <w:t xml:space="preserve"> history of cancer</w:t>
      </w:r>
      <w:r w:rsidR="00C10A73">
        <w:t>, including 2</w:t>
      </w:r>
      <w:r w:rsidR="00F255D8">
        <w:t>7</w:t>
      </w:r>
      <w:r w:rsidR="00C10A73">
        <w:t xml:space="preserve"> pure cancer susceptibility patients and 2</w:t>
      </w:r>
      <w:r w:rsidR="00F255D8">
        <w:t>5</w:t>
      </w:r>
      <w:r w:rsidR="00C10A73">
        <w:t xml:space="preserve"> cancer plus patients. T</w:t>
      </w:r>
      <w:r w:rsidR="00E5455A">
        <w:t>he majority (</w:t>
      </w:r>
      <w:r w:rsidR="00744713">
        <w:t>92.3%</w:t>
      </w:r>
      <w:r w:rsidR="00E5455A">
        <w:t>)</w:t>
      </w:r>
      <w:r w:rsidR="00744713">
        <w:t xml:space="preserve"> </w:t>
      </w:r>
      <w:r w:rsidR="00C10A73">
        <w:t xml:space="preserve">of </w:t>
      </w:r>
      <w:r w:rsidR="00F255D8">
        <w:t xml:space="preserve">“pure” </w:t>
      </w:r>
      <w:r w:rsidR="00C10A73">
        <w:t xml:space="preserve">cancer patients reported </w:t>
      </w:r>
      <w:r w:rsidR="00744713">
        <w:t>previous uninformative</w:t>
      </w:r>
      <w:r w:rsidR="000B5A60">
        <w:t xml:space="preserve"> </w:t>
      </w:r>
      <w:r w:rsidR="00E92887">
        <w:t xml:space="preserve">molecular </w:t>
      </w:r>
      <w:r w:rsidR="000B5A60">
        <w:t>testing</w:t>
      </w:r>
      <w:r w:rsidR="00A7083F" w:rsidRPr="00A7083F">
        <w:t>.</w:t>
      </w:r>
      <w:r w:rsidR="00ED5555">
        <w:t xml:space="preserve"> </w:t>
      </w:r>
      <w:r w:rsidR="00152BEC">
        <w:t>F</w:t>
      </w:r>
      <w:r w:rsidR="00C10A73">
        <w:t xml:space="preserve">our </w:t>
      </w:r>
      <w:r w:rsidR="00ED5555">
        <w:t xml:space="preserve">(57%) </w:t>
      </w:r>
      <w:r w:rsidR="00152BEC">
        <w:t xml:space="preserve">of “pure” cancer patients without previous testing </w:t>
      </w:r>
      <w:r w:rsidR="00C10A73">
        <w:t>de</w:t>
      </w:r>
      <w:r w:rsidR="00ED5555">
        <w:t xml:space="preserve">clined </w:t>
      </w:r>
      <w:r w:rsidR="00152BEC">
        <w:t xml:space="preserve">other </w:t>
      </w:r>
      <w:r w:rsidR="00ED5555">
        <w:t>genetic tests at the time DES was offered.</w:t>
      </w:r>
      <w:r w:rsidR="0039534D">
        <w:t xml:space="preserve"> </w:t>
      </w:r>
      <w:r w:rsidR="0039534D" w:rsidRPr="00152BEC">
        <w:t>Of the “pure” cancer cases,</w:t>
      </w:r>
      <w:r w:rsidR="00ED5555" w:rsidRPr="00152BEC">
        <w:t xml:space="preserve"> </w:t>
      </w:r>
      <w:r w:rsidR="0039534D" w:rsidRPr="00152BEC">
        <w:t xml:space="preserve">one </w:t>
      </w:r>
      <w:r w:rsidR="00ED5555" w:rsidRPr="00152BEC">
        <w:t xml:space="preserve">clinician reported referring for DES due to suspicion of a cancer syndrome </w:t>
      </w:r>
      <w:r w:rsidR="00AB070A" w:rsidRPr="00152BEC">
        <w:t xml:space="preserve">unavailable for germline testing, another for </w:t>
      </w:r>
      <w:r w:rsidR="00ED5555" w:rsidRPr="00152BEC">
        <w:t xml:space="preserve">clinical history of familial </w:t>
      </w:r>
      <w:r w:rsidR="00842DA1" w:rsidRPr="00152BEC">
        <w:t>non-</w:t>
      </w:r>
      <w:r w:rsidR="00ED5555" w:rsidRPr="00152BEC">
        <w:t>medullary thyroid cancer. The remainder of</w:t>
      </w:r>
      <w:r w:rsidR="00F255D8" w:rsidRPr="00152BEC">
        <w:t xml:space="preserve"> </w:t>
      </w:r>
      <w:r w:rsidR="000A00BA" w:rsidRPr="00152BEC">
        <w:t>”pure”</w:t>
      </w:r>
      <w:r w:rsidR="00ED5555" w:rsidRPr="00152BEC">
        <w:t xml:space="preserve"> cases were referred for suspected hereditary cancer syndromes for which known associated genetic testing was negative or cancer histories not indicative of a specific hereditary cancer syndrome.</w:t>
      </w:r>
    </w:p>
    <w:p w:rsidR="00A62723" w:rsidRDefault="00A7083F" w:rsidP="00552257">
      <w:r w:rsidRPr="00A7083F">
        <w:t xml:space="preserve">Positive or likely positive results were </w:t>
      </w:r>
      <w:r w:rsidR="00BC208F">
        <w:t xml:space="preserve">less frequent </w:t>
      </w:r>
      <w:r w:rsidR="00E92887">
        <w:t xml:space="preserve">and uncertain results </w:t>
      </w:r>
      <w:r w:rsidR="002A3F18">
        <w:t xml:space="preserve">were </w:t>
      </w:r>
      <w:r w:rsidR="00E92887">
        <w:t xml:space="preserve">similar </w:t>
      </w:r>
      <w:r w:rsidR="002A3F18">
        <w:t>among</w:t>
      </w:r>
      <w:r w:rsidRPr="00A7083F">
        <w:t xml:space="preserve"> patients with </w:t>
      </w:r>
      <w:r w:rsidR="002A3F18">
        <w:t xml:space="preserve">and without </w:t>
      </w:r>
      <w:r>
        <w:t>a history of cancer</w:t>
      </w:r>
      <w:r w:rsidRPr="00A7083F">
        <w:t xml:space="preserve"> (p=</w:t>
      </w:r>
      <w:r w:rsidR="00BC208F" w:rsidRPr="00B30D0E">
        <w:t xml:space="preserve"> </w:t>
      </w:r>
      <w:r w:rsidR="00526838">
        <w:t>1.038e</w:t>
      </w:r>
      <w:r w:rsidR="00BC208F" w:rsidRPr="00BC208F">
        <w:t>-4</w:t>
      </w:r>
      <w:r w:rsidR="00E92887">
        <w:t>, p=</w:t>
      </w:r>
      <w:r w:rsidR="00E92887" w:rsidRPr="00BC208F">
        <w:t xml:space="preserve"> 0.</w:t>
      </w:r>
      <w:r w:rsidR="00E92887">
        <w:t>812, respectively</w:t>
      </w:r>
      <w:r w:rsidR="0046067F">
        <w:t xml:space="preserve">). </w:t>
      </w:r>
      <w:r w:rsidR="002A1E7D">
        <w:t>The frequency of o</w:t>
      </w:r>
      <w:r w:rsidRPr="00A7083F">
        <w:t xml:space="preserve">verall negative DES results </w:t>
      </w:r>
      <w:r w:rsidR="002A1E7D">
        <w:t xml:space="preserve">was higher </w:t>
      </w:r>
      <w:r w:rsidR="002A3F18">
        <w:t xml:space="preserve">in </w:t>
      </w:r>
      <w:r w:rsidRPr="00A7083F">
        <w:t xml:space="preserve">patients with </w:t>
      </w:r>
      <w:r>
        <w:t>histor</w:t>
      </w:r>
      <w:r w:rsidR="00E92887">
        <w:t>ies</w:t>
      </w:r>
      <w:r>
        <w:t xml:space="preserve"> of </w:t>
      </w:r>
      <w:r w:rsidR="00BC208F">
        <w:t>cancer</w:t>
      </w:r>
      <w:r w:rsidR="00BC208F" w:rsidRPr="00A7083F">
        <w:t xml:space="preserve"> </w:t>
      </w:r>
      <w:r w:rsidRPr="00A7083F">
        <w:t>(p=</w:t>
      </w:r>
      <w:r w:rsidR="00BC208F">
        <w:t>0.002</w:t>
      </w:r>
      <w:r>
        <w:t xml:space="preserve">). </w:t>
      </w:r>
      <w:r w:rsidR="00A62723">
        <w:t>Novel genetic etiologies were</w:t>
      </w:r>
      <w:r w:rsidR="0039534D">
        <w:t xml:space="preserve"> observed at similar frequencies in </w:t>
      </w:r>
      <w:r w:rsidR="00A62723">
        <w:t>individuals with</w:t>
      </w:r>
      <w:r w:rsidR="00EF54EE">
        <w:t xml:space="preserve"> or without</w:t>
      </w:r>
      <w:r w:rsidR="00E92887">
        <w:t xml:space="preserve"> </w:t>
      </w:r>
      <w:r w:rsidR="00A62723">
        <w:t>histor</w:t>
      </w:r>
      <w:r w:rsidR="00E92887">
        <w:t>ies</w:t>
      </w:r>
      <w:r w:rsidR="00A62723">
        <w:t xml:space="preserve"> of cancer (p=</w:t>
      </w:r>
      <w:r w:rsidR="00A62723" w:rsidRPr="00B30D0E">
        <w:t xml:space="preserve"> 0.</w:t>
      </w:r>
      <w:r w:rsidR="002947E9">
        <w:t>277</w:t>
      </w:r>
      <w:r w:rsidR="00A62723" w:rsidRPr="00B30D0E">
        <w:t>)</w:t>
      </w:r>
      <w:r w:rsidR="00A62723">
        <w:t xml:space="preserve">.  </w:t>
      </w:r>
    </w:p>
    <w:p w:rsidR="00F95885" w:rsidRDefault="00E92887" w:rsidP="00552257">
      <w:r>
        <w:t>There were no statistically significant differences in diagnostic yields among p</w:t>
      </w:r>
      <w:r w:rsidR="00EF4486">
        <w:t xml:space="preserve">atients with “pure” cancer susceptibility </w:t>
      </w:r>
      <w:r>
        <w:t>and</w:t>
      </w:r>
      <w:r w:rsidR="00EF4486">
        <w:t xml:space="preserve"> </w:t>
      </w:r>
      <w:r w:rsidR="00A62723">
        <w:t xml:space="preserve">cancer </w:t>
      </w:r>
      <w:r w:rsidR="00152BEC">
        <w:t>“</w:t>
      </w:r>
      <w:r w:rsidR="00A62723">
        <w:t>plus</w:t>
      </w:r>
      <w:r w:rsidR="002A3F18">
        <w:t>”</w:t>
      </w:r>
      <w:r w:rsidR="00A62723">
        <w:t xml:space="preserve"> </w:t>
      </w:r>
      <w:r w:rsidR="00613351">
        <w:t>cases</w:t>
      </w:r>
      <w:r w:rsidR="00BC208F">
        <w:t>.</w:t>
      </w:r>
      <w:r w:rsidR="00A62723">
        <w:t xml:space="preserve"> </w:t>
      </w:r>
      <w:r w:rsidR="0039534D">
        <w:t>In the “pure” cancer cases</w:t>
      </w:r>
      <w:r w:rsidR="00AB070A">
        <w:t>, novel</w:t>
      </w:r>
      <w:r w:rsidR="0039534D">
        <w:t xml:space="preserve"> </w:t>
      </w:r>
      <w:r w:rsidR="00F31F78">
        <w:t xml:space="preserve">genetic etiologies included </w:t>
      </w:r>
      <w:r w:rsidR="00F31F78" w:rsidRPr="00F95885">
        <w:rPr>
          <w:i/>
        </w:rPr>
        <w:t>RAD54L</w:t>
      </w:r>
      <w:r w:rsidR="00F31F78">
        <w:t xml:space="preserve"> (2 cases) and </w:t>
      </w:r>
      <w:r w:rsidR="00F95885" w:rsidRPr="00F95885">
        <w:rPr>
          <w:i/>
        </w:rPr>
        <w:t>STAT2</w:t>
      </w:r>
      <w:r w:rsidR="00F95885">
        <w:t xml:space="preserve">. </w:t>
      </w:r>
      <w:r w:rsidR="00F31F78">
        <w:t>Positive or uncertain findings were reported in</w:t>
      </w:r>
      <w:r w:rsidR="0090298A">
        <w:t xml:space="preserve"> 5 characterized oncology genes</w:t>
      </w:r>
      <w:r w:rsidR="0090298A">
        <w:rPr>
          <w:i/>
        </w:rPr>
        <w:t xml:space="preserve"> (</w:t>
      </w:r>
      <w:r w:rsidR="0090298A" w:rsidRPr="00F95885">
        <w:rPr>
          <w:i/>
        </w:rPr>
        <w:t>ATM</w:t>
      </w:r>
      <w:r w:rsidR="00F31F78" w:rsidRPr="00F95885">
        <w:rPr>
          <w:i/>
        </w:rPr>
        <w:t>, AXIN</w:t>
      </w:r>
      <w:r w:rsidR="00F95885">
        <w:rPr>
          <w:i/>
        </w:rPr>
        <w:t xml:space="preserve">2, </w:t>
      </w:r>
      <w:r w:rsidR="00F95885" w:rsidRPr="00F95885">
        <w:rPr>
          <w:i/>
        </w:rPr>
        <w:t>EGLN1</w:t>
      </w:r>
      <w:r w:rsidR="00F95885">
        <w:rPr>
          <w:i/>
        </w:rPr>
        <w:t>,</w:t>
      </w:r>
      <w:r w:rsidR="00F95885" w:rsidRPr="00F95885">
        <w:rPr>
          <w:i/>
        </w:rPr>
        <w:t xml:space="preserve"> RAD51D</w:t>
      </w:r>
      <w:r w:rsidR="000A00BA">
        <w:rPr>
          <w:i/>
        </w:rPr>
        <w:t>,</w:t>
      </w:r>
      <w:r w:rsidR="00F95885" w:rsidRPr="00F95885">
        <w:rPr>
          <w:i/>
        </w:rPr>
        <w:t xml:space="preserve"> </w:t>
      </w:r>
      <w:r w:rsidR="00F31F78" w:rsidRPr="00F95885">
        <w:rPr>
          <w:i/>
        </w:rPr>
        <w:t>SMARCA4</w:t>
      </w:r>
      <w:r w:rsidR="0090298A">
        <w:rPr>
          <w:i/>
        </w:rPr>
        <w:t>)</w:t>
      </w:r>
      <w:r w:rsidR="00F31F78" w:rsidRPr="00F95885">
        <w:rPr>
          <w:i/>
        </w:rPr>
        <w:t>.</w:t>
      </w:r>
      <w:r w:rsidR="00F31F78">
        <w:t xml:space="preserve"> </w:t>
      </w:r>
      <w:r w:rsidR="00A62723">
        <w:t xml:space="preserve"> </w:t>
      </w:r>
      <w:r w:rsidR="00DC7BD6">
        <w:t>With the exception of one p</w:t>
      </w:r>
      <w:r w:rsidR="00F255D8">
        <w:t xml:space="preserve">atient with a dual diagnosis </w:t>
      </w:r>
      <w:r w:rsidR="000A00BA">
        <w:t>(</w:t>
      </w:r>
      <w:r w:rsidR="00DC7BD6" w:rsidRPr="000A00BA">
        <w:rPr>
          <w:i/>
        </w:rPr>
        <w:t>ARHGAP11A</w:t>
      </w:r>
      <w:r w:rsidR="000A00BA" w:rsidRPr="000A00BA">
        <w:rPr>
          <w:i/>
        </w:rPr>
        <w:t xml:space="preserve">, </w:t>
      </w:r>
      <w:r w:rsidR="00DC7BD6" w:rsidRPr="000A00BA">
        <w:rPr>
          <w:i/>
        </w:rPr>
        <w:t>ETV6</w:t>
      </w:r>
      <w:r w:rsidR="000A00BA">
        <w:t>)</w:t>
      </w:r>
      <w:r w:rsidR="00DC7BD6">
        <w:t xml:space="preserve">, reported </w:t>
      </w:r>
      <w:r w:rsidR="00842DA1">
        <w:t xml:space="preserve">findings for cancer </w:t>
      </w:r>
      <w:r w:rsidR="00152BEC">
        <w:t>“</w:t>
      </w:r>
      <w:r w:rsidR="00842DA1">
        <w:t>plus</w:t>
      </w:r>
      <w:r w:rsidR="002A3F18">
        <w:t>”</w:t>
      </w:r>
      <w:r w:rsidR="00842DA1">
        <w:t xml:space="preserve"> cases were in non-oncologic genes</w:t>
      </w:r>
      <w:r w:rsidR="0039534D">
        <w:t xml:space="preserve"> (</w:t>
      </w:r>
      <w:r w:rsidR="00F255D8" w:rsidRPr="00F255D8">
        <w:rPr>
          <w:i/>
        </w:rPr>
        <w:t>ADNP</w:t>
      </w:r>
      <w:r w:rsidR="00F255D8">
        <w:t xml:space="preserve">, </w:t>
      </w:r>
      <w:r w:rsidR="00DC7BD6" w:rsidRPr="00DC7BD6">
        <w:rPr>
          <w:i/>
        </w:rPr>
        <w:t>COL7A1, KARS</w:t>
      </w:r>
      <w:r w:rsidR="0039534D">
        <w:t>)</w:t>
      </w:r>
      <w:r w:rsidR="002A3F18">
        <w:t>.</w:t>
      </w:r>
      <w:r w:rsidR="00F255D8">
        <w:t xml:space="preserve"> </w:t>
      </w:r>
    </w:p>
    <w:p w:rsidR="00AB070A" w:rsidRDefault="00AB070A" w:rsidP="00552257"/>
    <w:tbl>
      <w:tblPr>
        <w:tblStyle w:val="TableGrid"/>
        <w:tblW w:w="9828" w:type="dxa"/>
        <w:jc w:val="center"/>
        <w:tblLook w:val="04A0" w:firstRow="1" w:lastRow="0" w:firstColumn="1" w:lastColumn="0" w:noHBand="0" w:noVBand="1"/>
      </w:tblPr>
      <w:tblGrid>
        <w:gridCol w:w="2076"/>
        <w:gridCol w:w="2040"/>
        <w:gridCol w:w="1920"/>
        <w:gridCol w:w="1812"/>
        <w:gridCol w:w="1980"/>
      </w:tblGrid>
      <w:tr w:rsidR="00AB070A" w:rsidTr="00152BEC">
        <w:trPr>
          <w:jc w:val="center"/>
        </w:trPr>
        <w:tc>
          <w:tcPr>
            <w:tcW w:w="2076" w:type="dxa"/>
          </w:tcPr>
          <w:p w:rsidR="00AB070A" w:rsidRDefault="00AB070A" w:rsidP="00513810">
            <w:r>
              <w:lastRenderedPageBreak/>
              <w:t>Result Type</w:t>
            </w:r>
          </w:p>
        </w:tc>
        <w:tc>
          <w:tcPr>
            <w:tcW w:w="2040" w:type="dxa"/>
          </w:tcPr>
          <w:p w:rsidR="00AB070A" w:rsidRDefault="00AB070A" w:rsidP="00513810">
            <w:r w:rsidRPr="00753F1C">
              <w:rPr>
                <w:rFonts w:ascii="Calibri" w:eastAsia="Times New Roman" w:hAnsi="Calibri" w:cs="Times New Roman"/>
                <w:color w:val="000000"/>
              </w:rPr>
              <w:t>Cancer Susceptibility</w:t>
            </w:r>
            <w:r w:rsidRPr="00753F1C">
              <w:t xml:space="preserve"> </w:t>
            </w:r>
          </w:p>
          <w:p w:rsidR="00AB070A" w:rsidRPr="00753F1C" w:rsidRDefault="00AB070A" w:rsidP="00513810">
            <w:r>
              <w:t>#</w:t>
            </w:r>
            <w:r w:rsidRPr="00753F1C">
              <w:t xml:space="preserve"> of probands with result type/</w:t>
            </w:r>
          </w:p>
          <w:p w:rsidR="00AB070A" w:rsidRPr="00753F1C" w:rsidRDefault="00AB070A" w:rsidP="00513810">
            <w:r w:rsidRPr="00753F1C">
              <w:t xml:space="preserve">Total </w:t>
            </w:r>
            <w:r>
              <w:t>#</w:t>
            </w:r>
            <w:r w:rsidRPr="00753F1C">
              <w:t xml:space="preserve"> of probands tested (%)</w:t>
            </w:r>
          </w:p>
          <w:p w:rsidR="00AB070A" w:rsidRDefault="00AB070A" w:rsidP="00513810"/>
        </w:tc>
        <w:tc>
          <w:tcPr>
            <w:tcW w:w="1920" w:type="dxa"/>
          </w:tcPr>
          <w:p w:rsidR="00AB070A" w:rsidRDefault="00AB070A" w:rsidP="00513810">
            <w:pPr>
              <w:rPr>
                <w:rFonts w:ascii="Calibri" w:eastAsia="Times New Roman" w:hAnsi="Calibri" w:cs="Times New Roman"/>
                <w:color w:val="000000"/>
              </w:rPr>
            </w:pPr>
            <w:r w:rsidRPr="00753F1C">
              <w:rPr>
                <w:rFonts w:ascii="Calibri" w:eastAsia="Times New Roman" w:hAnsi="Calibri" w:cs="Times New Roman"/>
                <w:color w:val="000000"/>
              </w:rPr>
              <w:t xml:space="preserve">Cancer </w:t>
            </w:r>
            <w:r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753F1C">
              <w:rPr>
                <w:rFonts w:ascii="Calibri" w:eastAsia="Times New Roman" w:hAnsi="Calibri" w:cs="Times New Roman"/>
                <w:color w:val="000000"/>
              </w:rPr>
              <w:t>Plus</w:t>
            </w:r>
            <w:r>
              <w:rPr>
                <w:rFonts w:ascii="Calibri" w:eastAsia="Times New Roman" w:hAnsi="Calibri" w:cs="Times New Roman"/>
                <w:color w:val="000000"/>
              </w:rPr>
              <w:t>”</w:t>
            </w:r>
          </w:p>
          <w:p w:rsidR="00AB070A" w:rsidRPr="00753F1C" w:rsidRDefault="00AB070A" w:rsidP="00513810">
            <w:r>
              <w:t>#</w:t>
            </w:r>
            <w:r w:rsidRPr="00753F1C">
              <w:t xml:space="preserve"> of probands with result type/</w:t>
            </w:r>
          </w:p>
          <w:p w:rsidR="00AB070A" w:rsidRPr="00753F1C" w:rsidRDefault="00AB070A" w:rsidP="00513810">
            <w:r w:rsidRPr="00753F1C">
              <w:t xml:space="preserve">Total </w:t>
            </w:r>
            <w:r>
              <w:t>#</w:t>
            </w:r>
            <w:r w:rsidRPr="00753F1C">
              <w:t xml:space="preserve"> of</w:t>
            </w:r>
            <w:r>
              <w:t xml:space="preserve"> </w:t>
            </w:r>
            <w:r w:rsidRPr="00753F1C">
              <w:t>probands tested (%)</w:t>
            </w:r>
          </w:p>
          <w:p w:rsidR="00AB070A" w:rsidRDefault="00AB070A" w:rsidP="00513810"/>
        </w:tc>
        <w:tc>
          <w:tcPr>
            <w:tcW w:w="1812" w:type="dxa"/>
          </w:tcPr>
          <w:p w:rsidR="00AB070A" w:rsidRDefault="00AB070A" w:rsidP="00513810">
            <w:r>
              <w:t>Total Cancer Cases</w:t>
            </w:r>
          </w:p>
          <w:p w:rsidR="00AB070A" w:rsidRPr="00753F1C" w:rsidRDefault="00AB070A" w:rsidP="00513810">
            <w:r>
              <w:t>#</w:t>
            </w:r>
            <w:r w:rsidRPr="00753F1C">
              <w:t xml:space="preserve"> of probands with result type/</w:t>
            </w:r>
          </w:p>
          <w:p w:rsidR="00AB070A" w:rsidRDefault="00AB070A" w:rsidP="00513810">
            <w:r w:rsidRPr="00753F1C">
              <w:t xml:space="preserve">Total </w:t>
            </w:r>
            <w:r>
              <w:t>#</w:t>
            </w:r>
            <w:r w:rsidRPr="00753F1C">
              <w:t xml:space="preserve"> of</w:t>
            </w:r>
            <w:r>
              <w:t xml:space="preserve"> probands tested (%)</w:t>
            </w:r>
          </w:p>
        </w:tc>
        <w:tc>
          <w:tcPr>
            <w:tcW w:w="1980" w:type="dxa"/>
          </w:tcPr>
          <w:p w:rsidR="00AB070A" w:rsidRDefault="00AB070A" w:rsidP="00513810">
            <w:r>
              <w:t>Non-Cancer Cases</w:t>
            </w:r>
          </w:p>
          <w:p w:rsidR="00AB070A" w:rsidRPr="00753F1C" w:rsidRDefault="00AB070A" w:rsidP="00513810">
            <w:r>
              <w:t>#</w:t>
            </w:r>
            <w:r w:rsidRPr="00753F1C">
              <w:t xml:space="preserve"> of probands with result type/</w:t>
            </w:r>
          </w:p>
          <w:p w:rsidR="00AB070A" w:rsidRPr="00753F1C" w:rsidRDefault="00AB070A" w:rsidP="00513810">
            <w:r w:rsidRPr="00753F1C">
              <w:t xml:space="preserve">Total </w:t>
            </w:r>
            <w:r>
              <w:t>#</w:t>
            </w:r>
            <w:r w:rsidRPr="00753F1C">
              <w:t xml:space="preserve"> of probands tested (%)</w:t>
            </w:r>
          </w:p>
          <w:p w:rsidR="00AB070A" w:rsidRDefault="00AB070A" w:rsidP="00513810"/>
        </w:tc>
      </w:tr>
      <w:tr w:rsidR="00AB070A" w:rsidTr="00152BEC">
        <w:trPr>
          <w:jc w:val="center"/>
        </w:trPr>
        <w:tc>
          <w:tcPr>
            <w:tcW w:w="2076" w:type="dxa"/>
          </w:tcPr>
          <w:p w:rsidR="00AB070A" w:rsidRDefault="00AB070A" w:rsidP="00513810">
            <w:r>
              <w:t>Characterized Genes Positive/Likely Positive</w:t>
            </w:r>
          </w:p>
        </w:tc>
        <w:tc>
          <w:tcPr>
            <w:tcW w:w="2040" w:type="dxa"/>
          </w:tcPr>
          <w:p w:rsidR="00AB070A" w:rsidRDefault="000A00BA" w:rsidP="00152BEC">
            <w:r>
              <w:t>1</w:t>
            </w:r>
            <w:r w:rsidR="00AB070A">
              <w:t>/</w:t>
            </w:r>
            <w:r w:rsidR="00152BEC">
              <w:t xml:space="preserve">27 </w:t>
            </w:r>
            <w:r w:rsidR="00AB070A">
              <w:t>(</w:t>
            </w:r>
            <w:r>
              <w:t>3.</w:t>
            </w:r>
            <w:r w:rsidR="00152BEC">
              <w:t>7</w:t>
            </w:r>
            <w:r w:rsidR="00AB070A">
              <w:t>%)</w:t>
            </w:r>
          </w:p>
        </w:tc>
        <w:tc>
          <w:tcPr>
            <w:tcW w:w="1920" w:type="dxa"/>
          </w:tcPr>
          <w:p w:rsidR="00AB070A" w:rsidRDefault="000A00BA" w:rsidP="00152BEC">
            <w:r>
              <w:t>2</w:t>
            </w:r>
            <w:r w:rsidR="00AB070A">
              <w:t>/</w:t>
            </w:r>
            <w:r w:rsidR="00152BEC">
              <w:t xml:space="preserve">25 </w:t>
            </w:r>
            <w:r w:rsidR="00AB070A">
              <w:t>(</w:t>
            </w:r>
            <w:r>
              <w:t>8</w:t>
            </w:r>
            <w:r w:rsidR="00AB070A">
              <w:t>.</w:t>
            </w:r>
            <w:r w:rsidR="00152BEC">
              <w:t>0</w:t>
            </w:r>
            <w:r w:rsidR="00AB070A">
              <w:t>%)</w:t>
            </w:r>
          </w:p>
        </w:tc>
        <w:tc>
          <w:tcPr>
            <w:tcW w:w="1812" w:type="dxa"/>
          </w:tcPr>
          <w:p w:rsidR="00AB070A" w:rsidRDefault="00AB070A" w:rsidP="00513810">
            <w:r>
              <w:t>3</w:t>
            </w:r>
            <w:r w:rsidRPr="00A7083F">
              <w:t>/</w:t>
            </w:r>
            <w:r>
              <w:t>52 (5.8</w:t>
            </w:r>
            <w:r w:rsidRPr="00A7083F">
              <w:t>%)</w:t>
            </w:r>
          </w:p>
        </w:tc>
        <w:tc>
          <w:tcPr>
            <w:tcW w:w="1980" w:type="dxa"/>
          </w:tcPr>
          <w:p w:rsidR="00AB070A" w:rsidRDefault="00AB070A" w:rsidP="00513810">
            <w:r>
              <w:t>407</w:t>
            </w:r>
            <w:r w:rsidRPr="00A7083F">
              <w:t>/</w:t>
            </w:r>
            <w:r>
              <w:t xml:space="preserve">1448 </w:t>
            </w:r>
            <w:r w:rsidRPr="00A7083F">
              <w:t>(</w:t>
            </w:r>
            <w:r>
              <w:t>28.7</w:t>
            </w:r>
            <w:r w:rsidRPr="00A7083F">
              <w:t>%)</w:t>
            </w:r>
          </w:p>
        </w:tc>
      </w:tr>
      <w:tr w:rsidR="00AB070A" w:rsidTr="00152BEC">
        <w:trPr>
          <w:jc w:val="center"/>
        </w:trPr>
        <w:tc>
          <w:tcPr>
            <w:tcW w:w="2076" w:type="dxa"/>
          </w:tcPr>
          <w:p w:rsidR="00AB070A" w:rsidRDefault="00AB070A" w:rsidP="00513810">
            <w:r>
              <w:t>Characterized Genes Uncertain</w:t>
            </w:r>
          </w:p>
        </w:tc>
        <w:tc>
          <w:tcPr>
            <w:tcW w:w="2040" w:type="dxa"/>
          </w:tcPr>
          <w:p w:rsidR="00AB070A" w:rsidRDefault="00AB070A" w:rsidP="00152BEC">
            <w:r>
              <w:t>3/</w:t>
            </w:r>
            <w:r w:rsidR="00152BEC">
              <w:t xml:space="preserve">27 </w:t>
            </w:r>
            <w:r>
              <w:t>(</w:t>
            </w:r>
            <w:r w:rsidR="00152BEC">
              <w:t>11</w:t>
            </w:r>
            <w:r>
              <w:t>.</w:t>
            </w:r>
            <w:r w:rsidR="00152BEC">
              <w:t>1</w:t>
            </w:r>
            <w:r>
              <w:t>%)</w:t>
            </w:r>
          </w:p>
        </w:tc>
        <w:tc>
          <w:tcPr>
            <w:tcW w:w="1920" w:type="dxa"/>
          </w:tcPr>
          <w:p w:rsidR="00AB070A" w:rsidRDefault="00AB070A" w:rsidP="00152BEC">
            <w:r>
              <w:t>1/</w:t>
            </w:r>
            <w:r w:rsidR="00152BEC">
              <w:t xml:space="preserve">25 </w:t>
            </w:r>
            <w:r>
              <w:t>(4.</w:t>
            </w:r>
            <w:r w:rsidR="00152BEC">
              <w:t>0</w:t>
            </w:r>
            <w:r>
              <w:t>%)</w:t>
            </w:r>
          </w:p>
        </w:tc>
        <w:tc>
          <w:tcPr>
            <w:tcW w:w="1812" w:type="dxa"/>
          </w:tcPr>
          <w:p w:rsidR="00AB070A" w:rsidRDefault="00AB070A" w:rsidP="00513810">
            <w:r>
              <w:t>4/52 (7.7%)</w:t>
            </w:r>
          </w:p>
        </w:tc>
        <w:tc>
          <w:tcPr>
            <w:tcW w:w="1980" w:type="dxa"/>
          </w:tcPr>
          <w:p w:rsidR="00AB070A" w:rsidRDefault="00AB070A" w:rsidP="00513810">
            <w:r>
              <w:t>139/1448 (9.6</w:t>
            </w:r>
            <w:r w:rsidRPr="00A7083F">
              <w:t>%)</w:t>
            </w:r>
          </w:p>
        </w:tc>
      </w:tr>
      <w:tr w:rsidR="00AB070A" w:rsidTr="00152BEC">
        <w:trPr>
          <w:jc w:val="center"/>
        </w:trPr>
        <w:tc>
          <w:tcPr>
            <w:tcW w:w="2076" w:type="dxa"/>
          </w:tcPr>
          <w:p w:rsidR="00AB070A" w:rsidRDefault="00AB070A" w:rsidP="00513810">
            <w:r>
              <w:t>Negative</w:t>
            </w:r>
          </w:p>
        </w:tc>
        <w:tc>
          <w:tcPr>
            <w:tcW w:w="2040" w:type="dxa"/>
          </w:tcPr>
          <w:p w:rsidR="00AB070A" w:rsidRDefault="00AB070A" w:rsidP="00152BEC">
            <w:r>
              <w:t>20/</w:t>
            </w:r>
            <w:r w:rsidR="00152BEC">
              <w:t xml:space="preserve">27 </w:t>
            </w:r>
            <w:r>
              <w:t>(</w:t>
            </w:r>
            <w:r w:rsidR="00152BEC">
              <w:t>74</w:t>
            </w:r>
            <w:r>
              <w:t>.</w:t>
            </w:r>
            <w:r w:rsidR="00152BEC">
              <w:t>1</w:t>
            </w:r>
            <w:r>
              <w:t>%)</w:t>
            </w:r>
          </w:p>
        </w:tc>
        <w:tc>
          <w:tcPr>
            <w:tcW w:w="1920" w:type="dxa"/>
          </w:tcPr>
          <w:p w:rsidR="00AB070A" w:rsidRDefault="00AB070A" w:rsidP="00152BEC">
            <w:r>
              <w:t>21/</w:t>
            </w:r>
            <w:r w:rsidR="00152BEC">
              <w:t xml:space="preserve">25 </w:t>
            </w:r>
            <w:r>
              <w:t>(</w:t>
            </w:r>
            <w:r w:rsidR="00152BEC">
              <w:t>84.0</w:t>
            </w:r>
            <w:r>
              <w:t>%)</w:t>
            </w:r>
          </w:p>
        </w:tc>
        <w:tc>
          <w:tcPr>
            <w:tcW w:w="1812" w:type="dxa"/>
          </w:tcPr>
          <w:p w:rsidR="00AB070A" w:rsidRDefault="00AB070A" w:rsidP="00513810">
            <w:r>
              <w:t>41/52 (78.8</w:t>
            </w:r>
            <w:r w:rsidRPr="00A7083F">
              <w:t>%)</w:t>
            </w:r>
          </w:p>
        </w:tc>
        <w:tc>
          <w:tcPr>
            <w:tcW w:w="1980" w:type="dxa"/>
          </w:tcPr>
          <w:p w:rsidR="00AB070A" w:rsidRDefault="00AB070A" w:rsidP="00513810">
            <w:r>
              <w:t>834/1448 (57.6</w:t>
            </w:r>
            <w:r w:rsidRPr="00A7083F">
              <w:t>%)</w:t>
            </w:r>
          </w:p>
        </w:tc>
      </w:tr>
      <w:tr w:rsidR="00AB070A" w:rsidTr="00152BEC">
        <w:trPr>
          <w:jc w:val="center"/>
        </w:trPr>
        <w:tc>
          <w:tcPr>
            <w:tcW w:w="2076" w:type="dxa"/>
          </w:tcPr>
          <w:p w:rsidR="00AB070A" w:rsidRDefault="00AB070A" w:rsidP="00513810">
            <w:r>
              <w:t>Novel*</w:t>
            </w:r>
          </w:p>
        </w:tc>
        <w:tc>
          <w:tcPr>
            <w:tcW w:w="2040" w:type="dxa"/>
          </w:tcPr>
          <w:p w:rsidR="00AB070A" w:rsidRDefault="00AB070A" w:rsidP="00513810">
            <w:r>
              <w:t>3/24 (12.5%)</w:t>
            </w:r>
          </w:p>
        </w:tc>
        <w:tc>
          <w:tcPr>
            <w:tcW w:w="1920" w:type="dxa"/>
          </w:tcPr>
          <w:p w:rsidR="00AB070A" w:rsidRDefault="00AB070A" w:rsidP="00513810">
            <w:r>
              <w:t>1/19 (5/3%)</w:t>
            </w:r>
          </w:p>
        </w:tc>
        <w:tc>
          <w:tcPr>
            <w:tcW w:w="1812" w:type="dxa"/>
          </w:tcPr>
          <w:p w:rsidR="00AB070A" w:rsidRDefault="00AB070A" w:rsidP="00513810">
            <w:pPr>
              <w:tabs>
                <w:tab w:val="left" w:pos="855"/>
              </w:tabs>
            </w:pPr>
            <w:r>
              <w:t>4/43 (9.3%)</w:t>
            </w:r>
          </w:p>
        </w:tc>
        <w:tc>
          <w:tcPr>
            <w:tcW w:w="1980" w:type="dxa"/>
          </w:tcPr>
          <w:p w:rsidR="00AB070A" w:rsidRDefault="00AB070A" w:rsidP="00513810">
            <w:r>
              <w:t>69/1347 (5.1%)</w:t>
            </w:r>
          </w:p>
        </w:tc>
      </w:tr>
    </w:tbl>
    <w:p w:rsidR="00AB070A" w:rsidRDefault="00AB070A" w:rsidP="00AB070A">
      <w:pPr>
        <w:ind w:left="360"/>
      </w:pPr>
      <w:r>
        <w:t>*Among cases in which novel analysis was performed. Novel genetic etiologies were only analyzed in cases involving family trio testing, when ordered by a clinician, and if analysis of characterized genes was negative.</w:t>
      </w:r>
    </w:p>
    <w:p w:rsidR="00AB070A" w:rsidRDefault="00AB070A" w:rsidP="00552257"/>
    <w:p w:rsidR="00941093" w:rsidRDefault="00AE77CD">
      <w:r w:rsidRPr="00B30D0E">
        <w:rPr>
          <w:b/>
        </w:rPr>
        <w:t>Conclusions:</w:t>
      </w:r>
      <w:r>
        <w:t xml:space="preserve">  </w:t>
      </w:r>
      <w:r w:rsidR="00F255D8">
        <w:t>O</w:t>
      </w:r>
      <w:r w:rsidR="00BC208F" w:rsidRPr="00B30D0E">
        <w:t xml:space="preserve">verall diagnostic yield of DES </w:t>
      </w:r>
      <w:r w:rsidR="00C85F14">
        <w:t>for</w:t>
      </w:r>
      <w:r w:rsidR="00BC208F" w:rsidRPr="00B30D0E">
        <w:t xml:space="preserve"> patients with histor</w:t>
      </w:r>
      <w:r w:rsidR="00C377A2">
        <w:t>ies</w:t>
      </w:r>
      <w:r w:rsidR="00BC208F" w:rsidRPr="00B30D0E">
        <w:t xml:space="preserve"> of cancer is significant</w:t>
      </w:r>
      <w:r w:rsidR="00C85F14">
        <w:t>ly l</w:t>
      </w:r>
      <w:r w:rsidR="00744713">
        <w:t>ower</w:t>
      </w:r>
      <w:r w:rsidR="00C85F14">
        <w:t xml:space="preserve"> than for non-cancer patients</w:t>
      </w:r>
      <w:r w:rsidR="00A62723">
        <w:t xml:space="preserve">, with less positive and more negatives findings </w:t>
      </w:r>
      <w:r w:rsidR="00EF54EE">
        <w:t>in</w:t>
      </w:r>
      <w:r w:rsidR="00A62723">
        <w:t xml:space="preserve"> patients referred with </w:t>
      </w:r>
      <w:r w:rsidR="00F255D8">
        <w:t>cancer histories</w:t>
      </w:r>
      <w:r w:rsidR="00C85F14">
        <w:t xml:space="preserve">. </w:t>
      </w:r>
      <w:r w:rsidR="00BC208F" w:rsidRPr="00B30D0E">
        <w:t xml:space="preserve"> </w:t>
      </w:r>
      <w:r w:rsidR="00FC52C1">
        <w:t>While t</w:t>
      </w:r>
      <w:r w:rsidR="00BC208F" w:rsidRPr="00B30D0E">
        <w:t xml:space="preserve">his may be explained by </w:t>
      </w:r>
      <w:r w:rsidR="00FC52C1">
        <w:t xml:space="preserve">the fact </w:t>
      </w:r>
      <w:r w:rsidR="00EF5580">
        <w:t xml:space="preserve">that </w:t>
      </w:r>
      <w:r w:rsidR="0060145F">
        <w:t xml:space="preserve">well-established relevant genes had already been excluded in the </w:t>
      </w:r>
      <w:r w:rsidR="00EF5580">
        <w:t xml:space="preserve">vast majority of </w:t>
      </w:r>
      <w:r w:rsidR="00F95885">
        <w:t xml:space="preserve">the </w:t>
      </w:r>
      <w:r w:rsidR="00EF5580">
        <w:t xml:space="preserve">cancer </w:t>
      </w:r>
      <w:r w:rsidR="00F95885">
        <w:t>cohort, one would then expect a higher number of findings in novel genetic etiologies</w:t>
      </w:r>
      <w:r w:rsidR="0060145F">
        <w:t>.</w:t>
      </w:r>
      <w:r w:rsidR="00B30D0E" w:rsidRPr="00B30D0E">
        <w:t xml:space="preserve"> </w:t>
      </w:r>
    </w:p>
    <w:p w:rsidR="00E10C10" w:rsidRDefault="00B30D0E">
      <w:r>
        <w:t xml:space="preserve">Surprisingly, the cases with a “pure” cancer susceptibility phenotype did not differ from those with a more complex phenotype, which may indicate the complexity of testing for cancer in individuals not diagnosed by more traditional cancer heritability tests. It is </w:t>
      </w:r>
      <w:r w:rsidR="00960056">
        <w:t>conceivable</w:t>
      </w:r>
      <w:r>
        <w:t xml:space="preserve"> that future re-analysis in novel genes may </w:t>
      </w:r>
      <w:r w:rsidR="00E56B45">
        <w:t xml:space="preserve">impact </w:t>
      </w:r>
      <w:r>
        <w:t xml:space="preserve">the diagnostic yield, indicating the </w:t>
      </w:r>
      <w:r w:rsidR="00960056">
        <w:t>necessity</w:t>
      </w:r>
      <w:r>
        <w:t xml:space="preserve"> for publishing novel cancer </w:t>
      </w:r>
      <w:r w:rsidR="00960056">
        <w:t>findings by DES and continued</w:t>
      </w:r>
      <w:r w:rsidR="00E56B45">
        <w:t xml:space="preserve"> </w:t>
      </w:r>
      <w:r w:rsidR="00960056">
        <w:t xml:space="preserve">examination </w:t>
      </w:r>
      <w:r w:rsidR="00E56B45">
        <w:t xml:space="preserve">of </w:t>
      </w:r>
      <w:r w:rsidR="00960056">
        <w:t>the literature.</w:t>
      </w:r>
    </w:p>
    <w:sectPr w:rsidR="00E10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CD"/>
    <w:rsid w:val="0000144E"/>
    <w:rsid w:val="00015571"/>
    <w:rsid w:val="00022124"/>
    <w:rsid w:val="00022162"/>
    <w:rsid w:val="00025B5A"/>
    <w:rsid w:val="00026029"/>
    <w:rsid w:val="0003031E"/>
    <w:rsid w:val="00031499"/>
    <w:rsid w:val="0003497E"/>
    <w:rsid w:val="000365DB"/>
    <w:rsid w:val="0004056E"/>
    <w:rsid w:val="00041FEE"/>
    <w:rsid w:val="00042B58"/>
    <w:rsid w:val="00043B6A"/>
    <w:rsid w:val="000477CA"/>
    <w:rsid w:val="0006315B"/>
    <w:rsid w:val="000678B7"/>
    <w:rsid w:val="0007547E"/>
    <w:rsid w:val="000762AD"/>
    <w:rsid w:val="00082486"/>
    <w:rsid w:val="00082836"/>
    <w:rsid w:val="0009403B"/>
    <w:rsid w:val="000A00BA"/>
    <w:rsid w:val="000A5750"/>
    <w:rsid w:val="000A666C"/>
    <w:rsid w:val="000B1E32"/>
    <w:rsid w:val="000B56DE"/>
    <w:rsid w:val="000B59D3"/>
    <w:rsid w:val="000B5A60"/>
    <w:rsid w:val="000B6577"/>
    <w:rsid w:val="000B6D4E"/>
    <w:rsid w:val="000B7260"/>
    <w:rsid w:val="000B7A92"/>
    <w:rsid w:val="000B7D2A"/>
    <w:rsid w:val="000C4A4B"/>
    <w:rsid w:val="000C79FD"/>
    <w:rsid w:val="000C7AD5"/>
    <w:rsid w:val="000D0F60"/>
    <w:rsid w:val="000D1466"/>
    <w:rsid w:val="000E2081"/>
    <w:rsid w:val="000E20B7"/>
    <w:rsid w:val="000E4A6D"/>
    <w:rsid w:val="000F08C4"/>
    <w:rsid w:val="000F2CAF"/>
    <w:rsid w:val="000F5BC0"/>
    <w:rsid w:val="00100E43"/>
    <w:rsid w:val="00100F47"/>
    <w:rsid w:val="0010355E"/>
    <w:rsid w:val="00103B00"/>
    <w:rsid w:val="00113F6B"/>
    <w:rsid w:val="001151CD"/>
    <w:rsid w:val="0011602F"/>
    <w:rsid w:val="00122DEF"/>
    <w:rsid w:val="00123821"/>
    <w:rsid w:val="00130BD0"/>
    <w:rsid w:val="001335B3"/>
    <w:rsid w:val="00134C28"/>
    <w:rsid w:val="00136B42"/>
    <w:rsid w:val="0014141A"/>
    <w:rsid w:val="0014284A"/>
    <w:rsid w:val="00142D31"/>
    <w:rsid w:val="00145585"/>
    <w:rsid w:val="00145668"/>
    <w:rsid w:val="00152BEC"/>
    <w:rsid w:val="001559A6"/>
    <w:rsid w:val="00157DA5"/>
    <w:rsid w:val="00157F82"/>
    <w:rsid w:val="0016026F"/>
    <w:rsid w:val="001616BC"/>
    <w:rsid w:val="001619B4"/>
    <w:rsid w:val="001623F8"/>
    <w:rsid w:val="0016281E"/>
    <w:rsid w:val="0017068B"/>
    <w:rsid w:val="001728A9"/>
    <w:rsid w:val="00172ED9"/>
    <w:rsid w:val="00176395"/>
    <w:rsid w:val="001800F1"/>
    <w:rsid w:val="001809E0"/>
    <w:rsid w:val="00183C8E"/>
    <w:rsid w:val="00183F46"/>
    <w:rsid w:val="001926B5"/>
    <w:rsid w:val="00193570"/>
    <w:rsid w:val="00196BA0"/>
    <w:rsid w:val="001A71E4"/>
    <w:rsid w:val="001B43D9"/>
    <w:rsid w:val="001B5AED"/>
    <w:rsid w:val="001B5B32"/>
    <w:rsid w:val="001B71D1"/>
    <w:rsid w:val="001C07F4"/>
    <w:rsid w:val="001C1BF4"/>
    <w:rsid w:val="001C3AA6"/>
    <w:rsid w:val="001C7AEA"/>
    <w:rsid w:val="001D1661"/>
    <w:rsid w:val="001D3200"/>
    <w:rsid w:val="001D57DF"/>
    <w:rsid w:val="001E0ADE"/>
    <w:rsid w:val="001E4ED5"/>
    <w:rsid w:val="001E4F8C"/>
    <w:rsid w:val="001E6382"/>
    <w:rsid w:val="001F02EE"/>
    <w:rsid w:val="001F0410"/>
    <w:rsid w:val="001F35DC"/>
    <w:rsid w:val="001F42AA"/>
    <w:rsid w:val="001F72A2"/>
    <w:rsid w:val="00201193"/>
    <w:rsid w:val="00206182"/>
    <w:rsid w:val="0020650D"/>
    <w:rsid w:val="002111C6"/>
    <w:rsid w:val="002123FE"/>
    <w:rsid w:val="00213937"/>
    <w:rsid w:val="00220C71"/>
    <w:rsid w:val="0022128B"/>
    <w:rsid w:val="002213AF"/>
    <w:rsid w:val="00223379"/>
    <w:rsid w:val="002237BC"/>
    <w:rsid w:val="00233908"/>
    <w:rsid w:val="002344E8"/>
    <w:rsid w:val="00237048"/>
    <w:rsid w:val="00240774"/>
    <w:rsid w:val="00243C57"/>
    <w:rsid w:val="00245BE0"/>
    <w:rsid w:val="002469C1"/>
    <w:rsid w:val="0024793D"/>
    <w:rsid w:val="00253220"/>
    <w:rsid w:val="002570FE"/>
    <w:rsid w:val="002611EC"/>
    <w:rsid w:val="002651D0"/>
    <w:rsid w:val="002702A3"/>
    <w:rsid w:val="002706DE"/>
    <w:rsid w:val="00270D4A"/>
    <w:rsid w:val="00276FF1"/>
    <w:rsid w:val="002770A6"/>
    <w:rsid w:val="0029176B"/>
    <w:rsid w:val="002921A3"/>
    <w:rsid w:val="00293ADD"/>
    <w:rsid w:val="002947E9"/>
    <w:rsid w:val="00294A15"/>
    <w:rsid w:val="00297915"/>
    <w:rsid w:val="002A1E7D"/>
    <w:rsid w:val="002A3F18"/>
    <w:rsid w:val="002A6230"/>
    <w:rsid w:val="002A74E1"/>
    <w:rsid w:val="002B7702"/>
    <w:rsid w:val="002C399A"/>
    <w:rsid w:val="002D3E2F"/>
    <w:rsid w:val="002D5813"/>
    <w:rsid w:val="002D642A"/>
    <w:rsid w:val="002D766A"/>
    <w:rsid w:val="00301083"/>
    <w:rsid w:val="003019D7"/>
    <w:rsid w:val="0030544C"/>
    <w:rsid w:val="003108C6"/>
    <w:rsid w:val="0031442F"/>
    <w:rsid w:val="00315843"/>
    <w:rsid w:val="00317C25"/>
    <w:rsid w:val="0032279B"/>
    <w:rsid w:val="0033021B"/>
    <w:rsid w:val="00334E61"/>
    <w:rsid w:val="00334FD4"/>
    <w:rsid w:val="003356AD"/>
    <w:rsid w:val="00344DE9"/>
    <w:rsid w:val="00347250"/>
    <w:rsid w:val="0035122E"/>
    <w:rsid w:val="003524B8"/>
    <w:rsid w:val="003539B3"/>
    <w:rsid w:val="00355245"/>
    <w:rsid w:val="00356B5E"/>
    <w:rsid w:val="00356C6A"/>
    <w:rsid w:val="0035746E"/>
    <w:rsid w:val="003576F3"/>
    <w:rsid w:val="003613A0"/>
    <w:rsid w:val="00362322"/>
    <w:rsid w:val="00365164"/>
    <w:rsid w:val="003661AD"/>
    <w:rsid w:val="003678FB"/>
    <w:rsid w:val="0037127E"/>
    <w:rsid w:val="00376863"/>
    <w:rsid w:val="00377B92"/>
    <w:rsid w:val="00382BCB"/>
    <w:rsid w:val="00382C4A"/>
    <w:rsid w:val="00384801"/>
    <w:rsid w:val="003863F4"/>
    <w:rsid w:val="00386F00"/>
    <w:rsid w:val="003873A9"/>
    <w:rsid w:val="00387A7F"/>
    <w:rsid w:val="00394D2B"/>
    <w:rsid w:val="0039534D"/>
    <w:rsid w:val="003A26ED"/>
    <w:rsid w:val="003A50AA"/>
    <w:rsid w:val="003A515A"/>
    <w:rsid w:val="003B21F7"/>
    <w:rsid w:val="003B3F03"/>
    <w:rsid w:val="003B51C6"/>
    <w:rsid w:val="003B5DA8"/>
    <w:rsid w:val="003B5E2A"/>
    <w:rsid w:val="003B5FFC"/>
    <w:rsid w:val="003C19CF"/>
    <w:rsid w:val="003C63CF"/>
    <w:rsid w:val="003C75A7"/>
    <w:rsid w:val="003C768D"/>
    <w:rsid w:val="003D299B"/>
    <w:rsid w:val="003D2A2C"/>
    <w:rsid w:val="003D66D8"/>
    <w:rsid w:val="003E1603"/>
    <w:rsid w:val="003E18B0"/>
    <w:rsid w:val="003E73A3"/>
    <w:rsid w:val="003F3A1C"/>
    <w:rsid w:val="003F60D6"/>
    <w:rsid w:val="00401439"/>
    <w:rsid w:val="004049F6"/>
    <w:rsid w:val="004077AE"/>
    <w:rsid w:val="0041400C"/>
    <w:rsid w:val="004171E2"/>
    <w:rsid w:val="004206B7"/>
    <w:rsid w:val="004213A6"/>
    <w:rsid w:val="004306B6"/>
    <w:rsid w:val="004310BD"/>
    <w:rsid w:val="004321F0"/>
    <w:rsid w:val="00432A44"/>
    <w:rsid w:val="0043755A"/>
    <w:rsid w:val="004434FD"/>
    <w:rsid w:val="00454908"/>
    <w:rsid w:val="00455015"/>
    <w:rsid w:val="00455950"/>
    <w:rsid w:val="004566B5"/>
    <w:rsid w:val="00456FED"/>
    <w:rsid w:val="0046067F"/>
    <w:rsid w:val="00460DA6"/>
    <w:rsid w:val="00461D54"/>
    <w:rsid w:val="0046478F"/>
    <w:rsid w:val="00467728"/>
    <w:rsid w:val="00472260"/>
    <w:rsid w:val="00475C40"/>
    <w:rsid w:val="00477A41"/>
    <w:rsid w:val="0048617E"/>
    <w:rsid w:val="004867D3"/>
    <w:rsid w:val="0049026A"/>
    <w:rsid w:val="00493988"/>
    <w:rsid w:val="004961F6"/>
    <w:rsid w:val="004A124F"/>
    <w:rsid w:val="004A17F0"/>
    <w:rsid w:val="004A374C"/>
    <w:rsid w:val="004B76AF"/>
    <w:rsid w:val="004C20C5"/>
    <w:rsid w:val="004C435A"/>
    <w:rsid w:val="004D2002"/>
    <w:rsid w:val="004D2B23"/>
    <w:rsid w:val="004D3B4C"/>
    <w:rsid w:val="004D5E58"/>
    <w:rsid w:val="004D7275"/>
    <w:rsid w:val="004E14BA"/>
    <w:rsid w:val="004E46DC"/>
    <w:rsid w:val="004E7F36"/>
    <w:rsid w:val="004F0E4F"/>
    <w:rsid w:val="004F10ED"/>
    <w:rsid w:val="00506241"/>
    <w:rsid w:val="005077C7"/>
    <w:rsid w:val="005115C1"/>
    <w:rsid w:val="00516E8A"/>
    <w:rsid w:val="00520102"/>
    <w:rsid w:val="00521544"/>
    <w:rsid w:val="00523A7C"/>
    <w:rsid w:val="0052468E"/>
    <w:rsid w:val="00526838"/>
    <w:rsid w:val="0052799A"/>
    <w:rsid w:val="005309A5"/>
    <w:rsid w:val="00535318"/>
    <w:rsid w:val="005441BC"/>
    <w:rsid w:val="0054553A"/>
    <w:rsid w:val="0054679B"/>
    <w:rsid w:val="00546F8E"/>
    <w:rsid w:val="005478A1"/>
    <w:rsid w:val="00552257"/>
    <w:rsid w:val="00553CDD"/>
    <w:rsid w:val="005559D8"/>
    <w:rsid w:val="005564F6"/>
    <w:rsid w:val="005565A7"/>
    <w:rsid w:val="00556689"/>
    <w:rsid w:val="00580DE0"/>
    <w:rsid w:val="00587EF7"/>
    <w:rsid w:val="0059018F"/>
    <w:rsid w:val="00595D8C"/>
    <w:rsid w:val="0059608C"/>
    <w:rsid w:val="00596724"/>
    <w:rsid w:val="005A410E"/>
    <w:rsid w:val="005A5E50"/>
    <w:rsid w:val="005B32A8"/>
    <w:rsid w:val="005B765F"/>
    <w:rsid w:val="005C3DA5"/>
    <w:rsid w:val="005C7FFB"/>
    <w:rsid w:val="005D27ED"/>
    <w:rsid w:val="005D5336"/>
    <w:rsid w:val="005D75A9"/>
    <w:rsid w:val="005D77A4"/>
    <w:rsid w:val="005E0C13"/>
    <w:rsid w:val="005E2349"/>
    <w:rsid w:val="005F1134"/>
    <w:rsid w:val="005F321F"/>
    <w:rsid w:val="005F6E6D"/>
    <w:rsid w:val="00600762"/>
    <w:rsid w:val="006010D0"/>
    <w:rsid w:val="0060145F"/>
    <w:rsid w:val="00606C7C"/>
    <w:rsid w:val="00607711"/>
    <w:rsid w:val="006106F3"/>
    <w:rsid w:val="00612F8E"/>
    <w:rsid w:val="00613351"/>
    <w:rsid w:val="00620E04"/>
    <w:rsid w:val="00621D69"/>
    <w:rsid w:val="006233DA"/>
    <w:rsid w:val="006242BF"/>
    <w:rsid w:val="006252F0"/>
    <w:rsid w:val="006269D4"/>
    <w:rsid w:val="00634065"/>
    <w:rsid w:val="0063754A"/>
    <w:rsid w:val="00641184"/>
    <w:rsid w:val="0064167F"/>
    <w:rsid w:val="006510CF"/>
    <w:rsid w:val="00651B46"/>
    <w:rsid w:val="006525F4"/>
    <w:rsid w:val="00656A9E"/>
    <w:rsid w:val="0066060A"/>
    <w:rsid w:val="00660BC3"/>
    <w:rsid w:val="006758CE"/>
    <w:rsid w:val="00675DBB"/>
    <w:rsid w:val="00680381"/>
    <w:rsid w:val="00684E97"/>
    <w:rsid w:val="00687EB4"/>
    <w:rsid w:val="00691556"/>
    <w:rsid w:val="0069334B"/>
    <w:rsid w:val="00693737"/>
    <w:rsid w:val="00694E16"/>
    <w:rsid w:val="00695FD9"/>
    <w:rsid w:val="006A0B6A"/>
    <w:rsid w:val="006A46D6"/>
    <w:rsid w:val="006B125A"/>
    <w:rsid w:val="006C313F"/>
    <w:rsid w:val="006C5BFF"/>
    <w:rsid w:val="006C6385"/>
    <w:rsid w:val="006D3E21"/>
    <w:rsid w:val="006D4697"/>
    <w:rsid w:val="006D63E3"/>
    <w:rsid w:val="006D79E2"/>
    <w:rsid w:val="006D7A09"/>
    <w:rsid w:val="006E38D6"/>
    <w:rsid w:val="006E3B53"/>
    <w:rsid w:val="006E60F5"/>
    <w:rsid w:val="006E7F91"/>
    <w:rsid w:val="006F4B93"/>
    <w:rsid w:val="006F4F7B"/>
    <w:rsid w:val="006F6646"/>
    <w:rsid w:val="007031EC"/>
    <w:rsid w:val="00710833"/>
    <w:rsid w:val="00710ABD"/>
    <w:rsid w:val="00713C89"/>
    <w:rsid w:val="00715F4D"/>
    <w:rsid w:val="00716F1B"/>
    <w:rsid w:val="007233A6"/>
    <w:rsid w:val="007267D5"/>
    <w:rsid w:val="00734EBA"/>
    <w:rsid w:val="00744713"/>
    <w:rsid w:val="00750C0F"/>
    <w:rsid w:val="0075443B"/>
    <w:rsid w:val="00754B03"/>
    <w:rsid w:val="00754CBC"/>
    <w:rsid w:val="007560AF"/>
    <w:rsid w:val="00757AD4"/>
    <w:rsid w:val="00757EBC"/>
    <w:rsid w:val="007607BB"/>
    <w:rsid w:val="00764AC8"/>
    <w:rsid w:val="00764FC9"/>
    <w:rsid w:val="00766347"/>
    <w:rsid w:val="007666F8"/>
    <w:rsid w:val="00774B4C"/>
    <w:rsid w:val="00775DA5"/>
    <w:rsid w:val="00781A35"/>
    <w:rsid w:val="0078543F"/>
    <w:rsid w:val="00786C3A"/>
    <w:rsid w:val="007902CB"/>
    <w:rsid w:val="007956A9"/>
    <w:rsid w:val="00796744"/>
    <w:rsid w:val="007A3435"/>
    <w:rsid w:val="007A3960"/>
    <w:rsid w:val="007A47F1"/>
    <w:rsid w:val="007A5919"/>
    <w:rsid w:val="007A6012"/>
    <w:rsid w:val="007A6759"/>
    <w:rsid w:val="007B02D2"/>
    <w:rsid w:val="007B147F"/>
    <w:rsid w:val="007B57CA"/>
    <w:rsid w:val="007C37BE"/>
    <w:rsid w:val="007C3EE4"/>
    <w:rsid w:val="007C4C2C"/>
    <w:rsid w:val="007D0D2F"/>
    <w:rsid w:val="007D4351"/>
    <w:rsid w:val="007D5833"/>
    <w:rsid w:val="007D68B6"/>
    <w:rsid w:val="007D6F1E"/>
    <w:rsid w:val="007D72D8"/>
    <w:rsid w:val="007D7EE4"/>
    <w:rsid w:val="007D7FD2"/>
    <w:rsid w:val="007E0426"/>
    <w:rsid w:val="007E1ED9"/>
    <w:rsid w:val="007E33F8"/>
    <w:rsid w:val="007E359B"/>
    <w:rsid w:val="007E383D"/>
    <w:rsid w:val="007E39DF"/>
    <w:rsid w:val="007E3C81"/>
    <w:rsid w:val="007E6EEB"/>
    <w:rsid w:val="007F1359"/>
    <w:rsid w:val="007F1AC2"/>
    <w:rsid w:val="007F25B4"/>
    <w:rsid w:val="007F306E"/>
    <w:rsid w:val="007F6283"/>
    <w:rsid w:val="00800BF3"/>
    <w:rsid w:val="00812112"/>
    <w:rsid w:val="008150F0"/>
    <w:rsid w:val="00820B6A"/>
    <w:rsid w:val="00823A47"/>
    <w:rsid w:val="008244E9"/>
    <w:rsid w:val="00827A64"/>
    <w:rsid w:val="00827F9B"/>
    <w:rsid w:val="00831443"/>
    <w:rsid w:val="0083172B"/>
    <w:rsid w:val="0083366A"/>
    <w:rsid w:val="00836227"/>
    <w:rsid w:val="00837D29"/>
    <w:rsid w:val="00842DA1"/>
    <w:rsid w:val="00844B12"/>
    <w:rsid w:val="00853725"/>
    <w:rsid w:val="008557C3"/>
    <w:rsid w:val="00857044"/>
    <w:rsid w:val="0085738B"/>
    <w:rsid w:val="00857FC1"/>
    <w:rsid w:val="008608D3"/>
    <w:rsid w:val="0086275E"/>
    <w:rsid w:val="00862DD4"/>
    <w:rsid w:val="0086379E"/>
    <w:rsid w:val="0087007E"/>
    <w:rsid w:val="0087023B"/>
    <w:rsid w:val="00877FB5"/>
    <w:rsid w:val="00881E97"/>
    <w:rsid w:val="0088398B"/>
    <w:rsid w:val="0088466E"/>
    <w:rsid w:val="00893F4C"/>
    <w:rsid w:val="00895D6C"/>
    <w:rsid w:val="008A101A"/>
    <w:rsid w:val="008A12BA"/>
    <w:rsid w:val="008A261B"/>
    <w:rsid w:val="008A2B37"/>
    <w:rsid w:val="008A525D"/>
    <w:rsid w:val="008A55F1"/>
    <w:rsid w:val="008A7FE1"/>
    <w:rsid w:val="008B09C6"/>
    <w:rsid w:val="008B32EF"/>
    <w:rsid w:val="008B40E8"/>
    <w:rsid w:val="008B547D"/>
    <w:rsid w:val="008B55D8"/>
    <w:rsid w:val="008B6DE1"/>
    <w:rsid w:val="008B72A7"/>
    <w:rsid w:val="008B7C91"/>
    <w:rsid w:val="008C17AA"/>
    <w:rsid w:val="008C1BDD"/>
    <w:rsid w:val="008C2882"/>
    <w:rsid w:val="008C53DC"/>
    <w:rsid w:val="008D053E"/>
    <w:rsid w:val="008D2D0A"/>
    <w:rsid w:val="008D4957"/>
    <w:rsid w:val="008D539B"/>
    <w:rsid w:val="008D5967"/>
    <w:rsid w:val="008D7635"/>
    <w:rsid w:val="008E42B9"/>
    <w:rsid w:val="008E47D5"/>
    <w:rsid w:val="008F1099"/>
    <w:rsid w:val="008F260B"/>
    <w:rsid w:val="008F7782"/>
    <w:rsid w:val="0090298A"/>
    <w:rsid w:val="009038B5"/>
    <w:rsid w:val="00903B5A"/>
    <w:rsid w:val="00913A31"/>
    <w:rsid w:val="00914498"/>
    <w:rsid w:val="0092436E"/>
    <w:rsid w:val="00931F88"/>
    <w:rsid w:val="009322CE"/>
    <w:rsid w:val="00934640"/>
    <w:rsid w:val="00941093"/>
    <w:rsid w:val="00941E4D"/>
    <w:rsid w:val="00950196"/>
    <w:rsid w:val="00950243"/>
    <w:rsid w:val="00955EBC"/>
    <w:rsid w:val="0095660E"/>
    <w:rsid w:val="00956615"/>
    <w:rsid w:val="00960056"/>
    <w:rsid w:val="0096416B"/>
    <w:rsid w:val="00965E6B"/>
    <w:rsid w:val="0096677E"/>
    <w:rsid w:val="00966BC1"/>
    <w:rsid w:val="0097063C"/>
    <w:rsid w:val="009711E6"/>
    <w:rsid w:val="00972E05"/>
    <w:rsid w:val="0097539B"/>
    <w:rsid w:val="00975708"/>
    <w:rsid w:val="00975CEE"/>
    <w:rsid w:val="00977D2B"/>
    <w:rsid w:val="00980E6D"/>
    <w:rsid w:val="009817F7"/>
    <w:rsid w:val="00984E12"/>
    <w:rsid w:val="00987190"/>
    <w:rsid w:val="00987475"/>
    <w:rsid w:val="0099050F"/>
    <w:rsid w:val="00990785"/>
    <w:rsid w:val="00991414"/>
    <w:rsid w:val="00995085"/>
    <w:rsid w:val="00996AF2"/>
    <w:rsid w:val="009A5A7B"/>
    <w:rsid w:val="009A5CC7"/>
    <w:rsid w:val="009B724C"/>
    <w:rsid w:val="009C340B"/>
    <w:rsid w:val="009C5F30"/>
    <w:rsid w:val="009C7AC4"/>
    <w:rsid w:val="009D1CF5"/>
    <w:rsid w:val="009D3646"/>
    <w:rsid w:val="009D43A9"/>
    <w:rsid w:val="009D5243"/>
    <w:rsid w:val="009D5BC7"/>
    <w:rsid w:val="009D6A74"/>
    <w:rsid w:val="009D6BC0"/>
    <w:rsid w:val="009E0C9F"/>
    <w:rsid w:val="009E1844"/>
    <w:rsid w:val="009E1B89"/>
    <w:rsid w:val="009E27EA"/>
    <w:rsid w:val="009E2F51"/>
    <w:rsid w:val="009E3395"/>
    <w:rsid w:val="009E38F6"/>
    <w:rsid w:val="009F2B8A"/>
    <w:rsid w:val="009F606E"/>
    <w:rsid w:val="009F6DF3"/>
    <w:rsid w:val="00A00529"/>
    <w:rsid w:val="00A007E7"/>
    <w:rsid w:val="00A0528F"/>
    <w:rsid w:val="00A11BC9"/>
    <w:rsid w:val="00A262B1"/>
    <w:rsid w:val="00A3266D"/>
    <w:rsid w:val="00A37367"/>
    <w:rsid w:val="00A45DD8"/>
    <w:rsid w:val="00A46AF0"/>
    <w:rsid w:val="00A46F03"/>
    <w:rsid w:val="00A5409E"/>
    <w:rsid w:val="00A549E9"/>
    <w:rsid w:val="00A5522C"/>
    <w:rsid w:val="00A55840"/>
    <w:rsid w:val="00A577C3"/>
    <w:rsid w:val="00A62723"/>
    <w:rsid w:val="00A63B84"/>
    <w:rsid w:val="00A64506"/>
    <w:rsid w:val="00A7083F"/>
    <w:rsid w:val="00A7265B"/>
    <w:rsid w:val="00A82196"/>
    <w:rsid w:val="00A82CF9"/>
    <w:rsid w:val="00A835F7"/>
    <w:rsid w:val="00A846E5"/>
    <w:rsid w:val="00A8681A"/>
    <w:rsid w:val="00A86BE3"/>
    <w:rsid w:val="00AA269E"/>
    <w:rsid w:val="00AA50E7"/>
    <w:rsid w:val="00AB01FB"/>
    <w:rsid w:val="00AB070A"/>
    <w:rsid w:val="00AB1050"/>
    <w:rsid w:val="00AB174A"/>
    <w:rsid w:val="00AB3AA5"/>
    <w:rsid w:val="00AB7CC0"/>
    <w:rsid w:val="00AC4125"/>
    <w:rsid w:val="00AC585B"/>
    <w:rsid w:val="00AD0CD7"/>
    <w:rsid w:val="00AD2074"/>
    <w:rsid w:val="00AD3241"/>
    <w:rsid w:val="00AD6C95"/>
    <w:rsid w:val="00AE4970"/>
    <w:rsid w:val="00AE5096"/>
    <w:rsid w:val="00AE77CD"/>
    <w:rsid w:val="00AF298E"/>
    <w:rsid w:val="00AF3306"/>
    <w:rsid w:val="00AF712B"/>
    <w:rsid w:val="00B00404"/>
    <w:rsid w:val="00B01138"/>
    <w:rsid w:val="00B01D5F"/>
    <w:rsid w:val="00B01EC4"/>
    <w:rsid w:val="00B05AD8"/>
    <w:rsid w:val="00B05D95"/>
    <w:rsid w:val="00B10D5F"/>
    <w:rsid w:val="00B12F6C"/>
    <w:rsid w:val="00B16BCA"/>
    <w:rsid w:val="00B21AE8"/>
    <w:rsid w:val="00B21D96"/>
    <w:rsid w:val="00B23B9A"/>
    <w:rsid w:val="00B261C0"/>
    <w:rsid w:val="00B26970"/>
    <w:rsid w:val="00B273A0"/>
    <w:rsid w:val="00B30D0E"/>
    <w:rsid w:val="00B30F50"/>
    <w:rsid w:val="00B322A1"/>
    <w:rsid w:val="00B429EF"/>
    <w:rsid w:val="00B470C2"/>
    <w:rsid w:val="00B47A28"/>
    <w:rsid w:val="00B51F0C"/>
    <w:rsid w:val="00B529AE"/>
    <w:rsid w:val="00B54B12"/>
    <w:rsid w:val="00B575CF"/>
    <w:rsid w:val="00B66CF6"/>
    <w:rsid w:val="00B66EDD"/>
    <w:rsid w:val="00B80D11"/>
    <w:rsid w:val="00B84896"/>
    <w:rsid w:val="00B871AE"/>
    <w:rsid w:val="00B8776E"/>
    <w:rsid w:val="00B9702B"/>
    <w:rsid w:val="00BA5358"/>
    <w:rsid w:val="00BA5943"/>
    <w:rsid w:val="00BA6719"/>
    <w:rsid w:val="00BB18F2"/>
    <w:rsid w:val="00BB3F36"/>
    <w:rsid w:val="00BB60DF"/>
    <w:rsid w:val="00BB7136"/>
    <w:rsid w:val="00BC208F"/>
    <w:rsid w:val="00BC49EC"/>
    <w:rsid w:val="00BC4DA6"/>
    <w:rsid w:val="00BC5732"/>
    <w:rsid w:val="00BC5F52"/>
    <w:rsid w:val="00BD6E00"/>
    <w:rsid w:val="00BE272C"/>
    <w:rsid w:val="00BE3B0E"/>
    <w:rsid w:val="00BF05D5"/>
    <w:rsid w:val="00BF20F5"/>
    <w:rsid w:val="00BF2342"/>
    <w:rsid w:val="00BF3B29"/>
    <w:rsid w:val="00BF4766"/>
    <w:rsid w:val="00BF6247"/>
    <w:rsid w:val="00BF633B"/>
    <w:rsid w:val="00BF6A69"/>
    <w:rsid w:val="00C02A5E"/>
    <w:rsid w:val="00C055F2"/>
    <w:rsid w:val="00C1009C"/>
    <w:rsid w:val="00C10A73"/>
    <w:rsid w:val="00C11746"/>
    <w:rsid w:val="00C121C0"/>
    <w:rsid w:val="00C15301"/>
    <w:rsid w:val="00C23425"/>
    <w:rsid w:val="00C267D2"/>
    <w:rsid w:val="00C30A2A"/>
    <w:rsid w:val="00C33395"/>
    <w:rsid w:val="00C33C93"/>
    <w:rsid w:val="00C33EAE"/>
    <w:rsid w:val="00C346B5"/>
    <w:rsid w:val="00C35959"/>
    <w:rsid w:val="00C377A2"/>
    <w:rsid w:val="00C419B2"/>
    <w:rsid w:val="00C4301B"/>
    <w:rsid w:val="00C446D3"/>
    <w:rsid w:val="00C466CF"/>
    <w:rsid w:val="00C54A06"/>
    <w:rsid w:val="00C57BC9"/>
    <w:rsid w:val="00C63CF1"/>
    <w:rsid w:val="00C706AA"/>
    <w:rsid w:val="00C76554"/>
    <w:rsid w:val="00C772AE"/>
    <w:rsid w:val="00C801CB"/>
    <w:rsid w:val="00C80D97"/>
    <w:rsid w:val="00C83E09"/>
    <w:rsid w:val="00C85F14"/>
    <w:rsid w:val="00C876A4"/>
    <w:rsid w:val="00C96379"/>
    <w:rsid w:val="00CA07C6"/>
    <w:rsid w:val="00CA2557"/>
    <w:rsid w:val="00CA5713"/>
    <w:rsid w:val="00CB112F"/>
    <w:rsid w:val="00CB46EC"/>
    <w:rsid w:val="00CC11C0"/>
    <w:rsid w:val="00CD195D"/>
    <w:rsid w:val="00CD7FB0"/>
    <w:rsid w:val="00CE1900"/>
    <w:rsid w:val="00CE5E56"/>
    <w:rsid w:val="00CF08A2"/>
    <w:rsid w:val="00CF33C8"/>
    <w:rsid w:val="00CF502F"/>
    <w:rsid w:val="00CF59CC"/>
    <w:rsid w:val="00CF59F2"/>
    <w:rsid w:val="00CF6879"/>
    <w:rsid w:val="00D00F70"/>
    <w:rsid w:val="00D10CFB"/>
    <w:rsid w:val="00D11525"/>
    <w:rsid w:val="00D116A6"/>
    <w:rsid w:val="00D1505D"/>
    <w:rsid w:val="00D16466"/>
    <w:rsid w:val="00D20296"/>
    <w:rsid w:val="00D21040"/>
    <w:rsid w:val="00D22A24"/>
    <w:rsid w:val="00D23B07"/>
    <w:rsid w:val="00D31A8C"/>
    <w:rsid w:val="00D33559"/>
    <w:rsid w:val="00D356F6"/>
    <w:rsid w:val="00D35B3C"/>
    <w:rsid w:val="00D36115"/>
    <w:rsid w:val="00D36121"/>
    <w:rsid w:val="00D36AE6"/>
    <w:rsid w:val="00D36CCC"/>
    <w:rsid w:val="00D442F3"/>
    <w:rsid w:val="00D52BCF"/>
    <w:rsid w:val="00D53F4B"/>
    <w:rsid w:val="00D619FB"/>
    <w:rsid w:val="00D668DC"/>
    <w:rsid w:val="00D67670"/>
    <w:rsid w:val="00D70CCE"/>
    <w:rsid w:val="00D71713"/>
    <w:rsid w:val="00D71E81"/>
    <w:rsid w:val="00D774F7"/>
    <w:rsid w:val="00D77E5B"/>
    <w:rsid w:val="00D83DC3"/>
    <w:rsid w:val="00D936E1"/>
    <w:rsid w:val="00D950E0"/>
    <w:rsid w:val="00DB193E"/>
    <w:rsid w:val="00DB520B"/>
    <w:rsid w:val="00DB5F97"/>
    <w:rsid w:val="00DC1DFB"/>
    <w:rsid w:val="00DC669D"/>
    <w:rsid w:val="00DC7B25"/>
    <w:rsid w:val="00DC7BD6"/>
    <w:rsid w:val="00DD21D4"/>
    <w:rsid w:val="00DD3A73"/>
    <w:rsid w:val="00DD5F80"/>
    <w:rsid w:val="00DD6176"/>
    <w:rsid w:val="00DD65D5"/>
    <w:rsid w:val="00DE26F0"/>
    <w:rsid w:val="00DE4DBC"/>
    <w:rsid w:val="00DF198F"/>
    <w:rsid w:val="00DF5448"/>
    <w:rsid w:val="00DF6148"/>
    <w:rsid w:val="00DF642A"/>
    <w:rsid w:val="00E011FC"/>
    <w:rsid w:val="00E012FF"/>
    <w:rsid w:val="00E024BE"/>
    <w:rsid w:val="00E049E9"/>
    <w:rsid w:val="00E0586E"/>
    <w:rsid w:val="00E06FC9"/>
    <w:rsid w:val="00E07041"/>
    <w:rsid w:val="00E1034C"/>
    <w:rsid w:val="00E10C10"/>
    <w:rsid w:val="00E15EBA"/>
    <w:rsid w:val="00E168FA"/>
    <w:rsid w:val="00E20266"/>
    <w:rsid w:val="00E22551"/>
    <w:rsid w:val="00E229F1"/>
    <w:rsid w:val="00E266E0"/>
    <w:rsid w:val="00E3016A"/>
    <w:rsid w:val="00E30DBD"/>
    <w:rsid w:val="00E31ADC"/>
    <w:rsid w:val="00E324E4"/>
    <w:rsid w:val="00E371B1"/>
    <w:rsid w:val="00E4299A"/>
    <w:rsid w:val="00E51038"/>
    <w:rsid w:val="00E52FB4"/>
    <w:rsid w:val="00E53F28"/>
    <w:rsid w:val="00E5455A"/>
    <w:rsid w:val="00E54BB2"/>
    <w:rsid w:val="00E56B45"/>
    <w:rsid w:val="00E64A79"/>
    <w:rsid w:val="00E64F96"/>
    <w:rsid w:val="00E65592"/>
    <w:rsid w:val="00E86260"/>
    <w:rsid w:val="00E92887"/>
    <w:rsid w:val="00E9367D"/>
    <w:rsid w:val="00E939A0"/>
    <w:rsid w:val="00E93E26"/>
    <w:rsid w:val="00EA36D9"/>
    <w:rsid w:val="00EA6264"/>
    <w:rsid w:val="00EA6DB8"/>
    <w:rsid w:val="00EC0710"/>
    <w:rsid w:val="00EC125D"/>
    <w:rsid w:val="00EC2C3A"/>
    <w:rsid w:val="00EC324D"/>
    <w:rsid w:val="00EC5888"/>
    <w:rsid w:val="00EC5C23"/>
    <w:rsid w:val="00EC7516"/>
    <w:rsid w:val="00ED0D86"/>
    <w:rsid w:val="00ED0DC5"/>
    <w:rsid w:val="00ED3D01"/>
    <w:rsid w:val="00ED5555"/>
    <w:rsid w:val="00ED7D85"/>
    <w:rsid w:val="00EE2463"/>
    <w:rsid w:val="00EE52C5"/>
    <w:rsid w:val="00EE5BFF"/>
    <w:rsid w:val="00EF1A10"/>
    <w:rsid w:val="00EF26F3"/>
    <w:rsid w:val="00EF4486"/>
    <w:rsid w:val="00EF54EE"/>
    <w:rsid w:val="00EF5580"/>
    <w:rsid w:val="00EF63C8"/>
    <w:rsid w:val="00F018E9"/>
    <w:rsid w:val="00F01958"/>
    <w:rsid w:val="00F01B2F"/>
    <w:rsid w:val="00F02250"/>
    <w:rsid w:val="00F15078"/>
    <w:rsid w:val="00F15FED"/>
    <w:rsid w:val="00F17CF7"/>
    <w:rsid w:val="00F241AF"/>
    <w:rsid w:val="00F255D8"/>
    <w:rsid w:val="00F266B5"/>
    <w:rsid w:val="00F26C3E"/>
    <w:rsid w:val="00F27543"/>
    <w:rsid w:val="00F31F78"/>
    <w:rsid w:val="00F34FF9"/>
    <w:rsid w:val="00F35447"/>
    <w:rsid w:val="00F44321"/>
    <w:rsid w:val="00F505C4"/>
    <w:rsid w:val="00F537B0"/>
    <w:rsid w:val="00F6479B"/>
    <w:rsid w:val="00F67E18"/>
    <w:rsid w:val="00F7128D"/>
    <w:rsid w:val="00F76264"/>
    <w:rsid w:val="00F800B5"/>
    <w:rsid w:val="00F818FD"/>
    <w:rsid w:val="00F81B90"/>
    <w:rsid w:val="00F90CC7"/>
    <w:rsid w:val="00F947D7"/>
    <w:rsid w:val="00F949CC"/>
    <w:rsid w:val="00F95885"/>
    <w:rsid w:val="00F9779B"/>
    <w:rsid w:val="00F97851"/>
    <w:rsid w:val="00FA0829"/>
    <w:rsid w:val="00FB11A9"/>
    <w:rsid w:val="00FB76E7"/>
    <w:rsid w:val="00FC1E51"/>
    <w:rsid w:val="00FC52C1"/>
    <w:rsid w:val="00FC60FB"/>
    <w:rsid w:val="00FE24E8"/>
    <w:rsid w:val="00FE5B32"/>
    <w:rsid w:val="00FE7D9F"/>
    <w:rsid w:val="00FF04CC"/>
    <w:rsid w:val="00FF128D"/>
    <w:rsid w:val="00FF4CD4"/>
    <w:rsid w:val="00FF63BF"/>
    <w:rsid w:val="00FF6F3B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52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5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5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5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5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52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5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5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5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5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Ambry Genetics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Zöe Powis</dc:creator>
  <cp:lastModifiedBy>Cayla Henderson</cp:lastModifiedBy>
  <cp:revision>2</cp:revision>
  <dcterms:created xsi:type="dcterms:W3CDTF">2017-06-13T18:28:00Z</dcterms:created>
  <dcterms:modified xsi:type="dcterms:W3CDTF">2017-06-13T18:28:00Z</dcterms:modified>
</cp:coreProperties>
</file>