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BC" w:rsidRPr="00082BF6" w:rsidRDefault="00830D31" w:rsidP="00F53317">
      <w:pPr>
        <w:rPr>
          <w:b/>
          <w:sz w:val="24"/>
        </w:rPr>
      </w:pPr>
      <w:bookmarkStart w:id="0" w:name="_GoBack"/>
      <w:bookmarkEnd w:id="0"/>
      <w:r w:rsidRPr="00082BF6">
        <w:rPr>
          <w:b/>
          <w:sz w:val="24"/>
        </w:rPr>
        <w:t>Positive predictors of inherited cancer susceptibility among women with ovarian and endometrial cancer</w:t>
      </w:r>
    </w:p>
    <w:p w:rsidR="00830D31" w:rsidRPr="00830D31" w:rsidRDefault="00830D31" w:rsidP="00F53317">
      <w:pPr>
        <w:rPr>
          <w:vertAlign w:val="superscript"/>
        </w:rPr>
      </w:pPr>
      <w:r>
        <w:t>Rachel McFarland,</w:t>
      </w:r>
      <w:r w:rsidR="008337EC">
        <w:t xml:space="preserve"> BS,</w:t>
      </w:r>
      <w:r>
        <w:t xml:space="preserve"> Holly LaDuca,</w:t>
      </w:r>
      <w:r w:rsidR="008337EC">
        <w:t xml:space="preserve"> MS, CGC,</w:t>
      </w:r>
      <w:r>
        <w:t xml:space="preserve"> Shuwei Li</w:t>
      </w:r>
      <w:r w:rsidR="008337EC">
        <w:t>, PhD</w:t>
      </w:r>
      <w:r>
        <w:t>, Jill</w:t>
      </w:r>
      <w:r w:rsidR="009701CB">
        <w:t xml:space="preserve"> S.</w:t>
      </w:r>
      <w:r>
        <w:t xml:space="preserve"> Dolinsky</w:t>
      </w:r>
      <w:r w:rsidR="008337EC">
        <w:t>, RN, MS, CGC</w:t>
      </w:r>
    </w:p>
    <w:p w:rsidR="00830D31" w:rsidRDefault="00830D31" w:rsidP="00F53317">
      <w:r>
        <w:t>Ambry Genetics, Aliso Viejo, CA</w:t>
      </w:r>
    </w:p>
    <w:p w:rsidR="00082BF6" w:rsidRDefault="00082BF6" w:rsidP="00F53317"/>
    <w:p w:rsidR="00830D31" w:rsidRDefault="00830D31" w:rsidP="00F53317">
      <w:r>
        <w:t>Objectives: This study assessed potential factors influencing the likelihood of a positive result in ovarian and/or endometrial cancer patients undergoing hereditary cancer multi-gene panel testing (MGPT).</w:t>
      </w:r>
    </w:p>
    <w:p w:rsidR="00830D31" w:rsidRDefault="00F53317" w:rsidP="00F53317">
      <w:r>
        <w:t>Methods:</w:t>
      </w:r>
      <w:r w:rsidR="005F20E4">
        <w:t xml:space="preserve"> </w:t>
      </w:r>
      <w:r w:rsidR="00830D31">
        <w:t>A total of 4,511 ovarian and/or endometrial cancer patients (3,043 with ovarian, 1,227 with endometrial, and 241 with both) were identified from a cohort of over 41,000 individuals undergoing MGPT at one clinical diagnostic laboratory. Rates of pathogenic</w:t>
      </w:r>
      <w:r w:rsidR="0022058D">
        <w:t xml:space="preserve"> and likely pathogenic</w:t>
      </w:r>
      <w:r w:rsidR="00830D31">
        <w:t xml:space="preserve"> alterations</w:t>
      </w:r>
      <w:r w:rsidR="00C06E23">
        <w:t xml:space="preserve"> (mutations)</w:t>
      </w:r>
      <w:r w:rsidR="00830D31">
        <w:t xml:space="preserve"> were calculated and comparisons were made </w:t>
      </w:r>
      <w:r w:rsidR="00DF13D0">
        <w:t xml:space="preserve">using Fisher’s exact test </w:t>
      </w:r>
      <w:r w:rsidR="00830D31">
        <w:t>based on the available clinical and demographic informat</w:t>
      </w:r>
      <w:r w:rsidR="0003094A">
        <w:t>i</w:t>
      </w:r>
      <w:r w:rsidR="00ED14D5">
        <w:t>on from test requisition forms.</w:t>
      </w:r>
    </w:p>
    <w:p w:rsidR="0003094A" w:rsidRDefault="0003094A" w:rsidP="00F53317">
      <w:r>
        <w:t xml:space="preserve">Results: 13.2% of ovarian and 12.2% of endometrial cancer patients harbored a </w:t>
      </w:r>
      <w:r w:rsidR="0022058D">
        <w:t>mutation</w:t>
      </w:r>
      <w:r>
        <w:t xml:space="preserve"> in one or more genes a</w:t>
      </w:r>
      <w:r w:rsidR="00B124A1">
        <w:t>nalyzed, as listed in Table 1.</w:t>
      </w:r>
      <w:r>
        <w:t xml:space="preserve"> </w:t>
      </w:r>
      <w:r w:rsidR="0022058D">
        <w:t>Mutation</w:t>
      </w:r>
      <w:r>
        <w:t xml:space="preserve"> rates were higher among non-Caucasians</w:t>
      </w:r>
      <w:r w:rsidR="00036605">
        <w:t xml:space="preserve"> (</w:t>
      </w:r>
      <w:r w:rsidR="005766F0">
        <w:t>15.0</w:t>
      </w:r>
      <w:r w:rsidR="00036605">
        <w:t>%)</w:t>
      </w:r>
      <w:r>
        <w:t xml:space="preserve"> </w:t>
      </w:r>
      <w:r w:rsidR="00036605">
        <w:t xml:space="preserve">than in Caucasians (12.6%), but the difference </w:t>
      </w:r>
      <w:r w:rsidR="00ED14D5">
        <w:t>was not significant</w:t>
      </w:r>
      <w:r w:rsidR="00036605">
        <w:t xml:space="preserve"> (p </w:t>
      </w:r>
      <w:r w:rsidR="007A4B62">
        <w:t>= 0.1</w:t>
      </w:r>
      <w:r w:rsidR="00036605">
        <w:t>)</w:t>
      </w:r>
      <w:r>
        <w:t xml:space="preserve">. </w:t>
      </w:r>
      <w:r w:rsidR="00036605">
        <w:t xml:space="preserve">20.3% of women of mixed ethnicity (p = 0.007 compared to Caucasians) </w:t>
      </w:r>
      <w:r>
        <w:t xml:space="preserve">carried a </w:t>
      </w:r>
      <w:r w:rsidR="0022058D">
        <w:t>mutation</w:t>
      </w:r>
      <w:r>
        <w:t>.</w:t>
      </w:r>
      <w:r w:rsidR="005766F0">
        <w:t xml:space="preserve"> Other </w:t>
      </w:r>
      <w:r w:rsidR="00C902FD">
        <w:t>ethnicities</w:t>
      </w:r>
      <w:r w:rsidR="005766F0">
        <w:t xml:space="preserve"> were examined and not found to significantly influence likelihood of a </w:t>
      </w:r>
      <w:r w:rsidR="00C902FD">
        <w:t>mutation</w:t>
      </w:r>
      <w:r w:rsidR="005766F0">
        <w:t>.</w:t>
      </w:r>
    </w:p>
    <w:p w:rsidR="00DF13D0" w:rsidRPr="005766F0" w:rsidRDefault="005766F0" w:rsidP="00F53317">
      <w:r w:rsidRPr="005766F0">
        <w:t xml:space="preserve">Women diagnosed with </w:t>
      </w:r>
      <w:r w:rsidR="00ED14D5">
        <w:t>either ovarian or endometrial c</w:t>
      </w:r>
      <w:r w:rsidRPr="005766F0">
        <w:t>a</w:t>
      </w:r>
      <w:r w:rsidR="00ED14D5">
        <w:t>n</w:t>
      </w:r>
      <w:r w:rsidRPr="005766F0">
        <w:t xml:space="preserve">cer </w:t>
      </w:r>
      <w:r w:rsidR="0022058D">
        <w:t>&lt;</w:t>
      </w:r>
      <w:r w:rsidRPr="005766F0">
        <w:t xml:space="preserve"> 50 </w:t>
      </w:r>
      <w:r w:rsidR="0022058D">
        <w:t xml:space="preserve">years </w:t>
      </w:r>
      <w:r w:rsidRPr="005766F0">
        <w:t>were not significantly more likely to receive positive results than women diagn</w:t>
      </w:r>
      <w:r w:rsidR="007A4B62">
        <w:t>osed at age 50 or over (p = 0.3</w:t>
      </w:r>
      <w:r w:rsidRPr="005766F0">
        <w:t xml:space="preserve"> for ovarian cancer, p = 0.08 for endometrial).</w:t>
      </w:r>
      <w:r w:rsidR="00C902FD">
        <w:t xml:space="preserve"> W</w:t>
      </w:r>
      <w:r w:rsidR="00036605" w:rsidRPr="0032143A">
        <w:t>omen diagnosed between</w:t>
      </w:r>
      <w:r w:rsidR="0022058D" w:rsidRPr="0032143A">
        <w:t xml:space="preserve"> ages</w:t>
      </w:r>
      <w:r w:rsidR="00036605" w:rsidRPr="0032143A">
        <w:t xml:space="preserve"> </w:t>
      </w:r>
      <w:r w:rsidR="0022058D" w:rsidRPr="0032143A">
        <w:t>40-59</w:t>
      </w:r>
      <w:r w:rsidR="00C902FD">
        <w:t xml:space="preserve"> had the highest rate of mutation</w:t>
      </w:r>
      <w:r w:rsidR="00036605" w:rsidRPr="0032143A">
        <w:t xml:space="preserve"> (16.3%).</w:t>
      </w:r>
      <w:r w:rsidRPr="0032143A">
        <w:t xml:space="preserve"> </w:t>
      </w:r>
    </w:p>
    <w:p w:rsidR="00870819" w:rsidRDefault="0003094A" w:rsidP="00F53317">
      <w:r>
        <w:t xml:space="preserve">More than one-third of women tested (n = 1593) had </w:t>
      </w:r>
      <w:r w:rsidR="008337EC">
        <w:t>&gt;1</w:t>
      </w:r>
      <w:r>
        <w:t xml:space="preserve"> primary cancer, including 5.3% with both ovarian and endometrial cancer.</w:t>
      </w:r>
      <w:r w:rsidR="00ED14D5">
        <w:t xml:space="preserve"> A</w:t>
      </w:r>
      <w:r>
        <w:t xml:space="preserve">mong probands with both ovarian and endometrial cancer, </w:t>
      </w:r>
      <w:r w:rsidR="0022058D">
        <w:t>mutation</w:t>
      </w:r>
      <w:r>
        <w:t xml:space="preserve"> rates were lower (10.8%) than those with only one cancer (11.8%), although this difference was not significant</w:t>
      </w:r>
      <w:r w:rsidR="005766F0">
        <w:t xml:space="preserve"> (p </w:t>
      </w:r>
      <w:r w:rsidR="007A4B62">
        <w:t>= 0.3</w:t>
      </w:r>
      <w:r w:rsidR="005766F0">
        <w:t>)</w:t>
      </w:r>
      <w:r>
        <w:t>.</w:t>
      </w:r>
      <w:r w:rsidR="00C902FD">
        <w:t xml:space="preserve"> M</w:t>
      </w:r>
      <w:r w:rsidR="0022058D">
        <w:t>utations</w:t>
      </w:r>
      <w:r w:rsidR="00470234">
        <w:t xml:space="preserve"> were significantly more common (15.7%, p = 0.03) among those with other combinations of mul</w:t>
      </w:r>
      <w:r w:rsidR="0022058D">
        <w:t xml:space="preserve">tiple primaries, and mutation </w:t>
      </w:r>
      <w:r w:rsidR="00470234">
        <w:t>rates were highest (19.1%, p = 0.00</w:t>
      </w:r>
      <w:r w:rsidR="00967846">
        <w:t>01</w:t>
      </w:r>
      <w:r w:rsidR="00470234">
        <w:t xml:space="preserve">) among probands with 3 or more primary cancers. </w:t>
      </w:r>
    </w:p>
    <w:p w:rsidR="00F53317" w:rsidRDefault="00F53317" w:rsidP="00F53317">
      <w:r>
        <w:t>Conclusions:</w:t>
      </w:r>
      <w:r w:rsidR="004F4767">
        <w:t xml:space="preserve"> Among ovarian and endometrial cancer patients referred for </w:t>
      </w:r>
      <w:r w:rsidR="00ED14D5">
        <w:t>MGPT</w:t>
      </w:r>
      <w:r w:rsidR="004F4767">
        <w:t xml:space="preserve">, </w:t>
      </w:r>
      <w:r w:rsidR="00DF13D0">
        <w:t xml:space="preserve">positive results were more prevalent among </w:t>
      </w:r>
      <w:r w:rsidR="00ED14D5">
        <w:t xml:space="preserve">women of </w:t>
      </w:r>
      <w:r w:rsidR="00ED14D5" w:rsidRPr="008337EC">
        <w:t>mixed ethnicity</w:t>
      </w:r>
      <w:r w:rsidR="00DF13D0" w:rsidRPr="008337EC">
        <w:t xml:space="preserve">, </w:t>
      </w:r>
      <w:r w:rsidR="00B124A1" w:rsidRPr="008337EC">
        <w:t xml:space="preserve">those diagnosed in their 40s and 50s, </w:t>
      </w:r>
      <w:r w:rsidR="00DF13D0" w:rsidRPr="008337EC">
        <w:t xml:space="preserve">and </w:t>
      </w:r>
      <w:r w:rsidR="00DF13D0">
        <w:t xml:space="preserve">those with additional primary cancers, suggesting that the </w:t>
      </w:r>
      <w:r w:rsidR="004F4767">
        <w:t xml:space="preserve">likelihood of positive results </w:t>
      </w:r>
      <w:r w:rsidR="00DF13D0">
        <w:t>may</w:t>
      </w:r>
      <w:r w:rsidR="004F4767">
        <w:t xml:space="preserve"> be influenced by ethnicity, age at diagnosis, and the presence</w:t>
      </w:r>
      <w:r w:rsidR="00DF13D0">
        <w:t xml:space="preserve"> of </w:t>
      </w:r>
      <w:r w:rsidR="00C902FD">
        <w:t>multiple cancers</w:t>
      </w:r>
      <w:r w:rsidR="00DF13D0">
        <w:t xml:space="preserve">. </w:t>
      </w:r>
    </w:p>
    <w:p w:rsidR="00ED14D5" w:rsidRDefault="00ED14D5" w:rsidP="00F53317"/>
    <w:p w:rsidR="00082BF6" w:rsidRDefault="00082BF6" w:rsidP="00F53317"/>
    <w:p w:rsidR="00082BF6" w:rsidRDefault="00082BF6" w:rsidP="00F53317"/>
    <w:p w:rsidR="00ED14D5" w:rsidRPr="00082BF6" w:rsidRDefault="00B124A1" w:rsidP="00F53317">
      <w:pPr>
        <w:rPr>
          <w:b/>
        </w:rPr>
      </w:pPr>
      <w:r w:rsidRPr="00082BF6">
        <w:rPr>
          <w:b/>
        </w:rPr>
        <w:lastRenderedPageBreak/>
        <w:t>Table 1</w:t>
      </w:r>
      <w:r w:rsidR="00C51167" w:rsidRPr="00082BF6">
        <w:rPr>
          <w:b/>
        </w:rPr>
        <w:t>: Genes Tested and Positive Results Identified</w:t>
      </w:r>
    </w:p>
    <w:tbl>
      <w:tblPr>
        <w:tblW w:w="12287" w:type="dxa"/>
        <w:tblInd w:w="93" w:type="dxa"/>
        <w:tblLook w:val="04A0" w:firstRow="1" w:lastRow="0" w:firstColumn="1" w:lastColumn="0" w:noHBand="0" w:noVBand="1"/>
      </w:tblPr>
      <w:tblGrid>
        <w:gridCol w:w="8835"/>
        <w:gridCol w:w="3452"/>
      </w:tblGrid>
      <w:tr w:rsidR="00810328" w:rsidRPr="00810328" w:rsidTr="00F172A1">
        <w:trPr>
          <w:trHeight w:val="30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LightShading-Accent1"/>
              <w:tblW w:w="7128" w:type="dxa"/>
              <w:tblLook w:val="04A0" w:firstRow="1" w:lastRow="0" w:firstColumn="1" w:lastColumn="0" w:noHBand="0" w:noVBand="1"/>
            </w:tblPr>
            <w:tblGrid>
              <w:gridCol w:w="1280"/>
              <w:gridCol w:w="1705"/>
              <w:gridCol w:w="2073"/>
              <w:gridCol w:w="2070"/>
            </w:tblGrid>
            <w:tr w:rsidR="00F172A1" w:rsidRPr="00810328" w:rsidTr="001D74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848" w:type="dxa"/>
                  <w:gridSpan w:val="3"/>
                  <w:noWrap/>
                  <w:hideMark/>
                </w:tcPr>
                <w:p w:rsidR="00F172A1" w:rsidRPr="00810328" w:rsidRDefault="00F172A1" w:rsidP="001D740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% of Individuals Tested with Pathogenic or Likely Pathogenic Alteration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Gene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0659DF" w:rsidRDefault="00F172A1" w:rsidP="001D740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659DF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Ovarian Cancer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0659DF" w:rsidRDefault="00F172A1" w:rsidP="001D740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659DF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Endometrial Cancer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0659DF" w:rsidRDefault="00F172A1" w:rsidP="001D740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659DF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Ovarian &amp; Endometrial Cancer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BRCA1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4.22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1.19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0.91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BRCA2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2.69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1.11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0.46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CHEK2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1.89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2.43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2.45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MSH6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0.91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3.27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3.91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BRIP1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1.17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0.62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MSH2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0.40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2.16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1.74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RAD51C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1.09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APC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0.53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0.96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ATM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0.62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1.06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1.23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PALB2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0.54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0.93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0.61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PMS2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0.34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0.96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0.43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RAD51D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0.59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MLH1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0.10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1.12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PTEN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0.31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0.48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NBN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0.33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0.13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0.62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TP53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0.30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0.14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CDKN2A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0.48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RAD50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0.29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NF1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0.23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MUTYH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*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0.08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0.44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MRE11A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0.13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0.13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SMAD4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0.27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BARD1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0.08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0.13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CDH1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0.09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  <w:tr w:rsidR="00F172A1" w:rsidRPr="00810328" w:rsidTr="001D740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0" w:type="dxa"/>
                  <w:noWrap/>
                  <w:hideMark/>
                </w:tcPr>
                <w:p w:rsidR="00F172A1" w:rsidRPr="00810328" w:rsidRDefault="00F172A1" w:rsidP="001D740C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EPCAM</w:t>
                  </w:r>
                </w:p>
              </w:tc>
              <w:tc>
                <w:tcPr>
                  <w:tcW w:w="1705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0.03</w:t>
                  </w:r>
                </w:p>
              </w:tc>
              <w:tc>
                <w:tcPr>
                  <w:tcW w:w="2073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2070" w:type="dxa"/>
                  <w:noWrap/>
                  <w:hideMark/>
                </w:tcPr>
                <w:p w:rsidR="00F172A1" w:rsidRPr="00810328" w:rsidRDefault="00F172A1" w:rsidP="001D740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10328">
                    <w:rPr>
                      <w:rFonts w:ascii="Calibri" w:eastAsia="Times New Roman" w:hAnsi="Calibri" w:cs="Times New Roman"/>
                      <w:color w:val="000000"/>
                    </w:rPr>
                    <w:t>0.00</w:t>
                  </w:r>
                </w:p>
              </w:tc>
            </w:tr>
          </w:tbl>
          <w:p w:rsidR="00F172A1" w:rsidRDefault="00F172A1" w:rsidP="00F172A1">
            <w:pPr>
              <w:rPr>
                <w:color w:val="FF0000"/>
              </w:rPr>
            </w:pPr>
          </w:p>
          <w:p w:rsidR="00F172A1" w:rsidRPr="000659DF" w:rsidRDefault="00F172A1" w:rsidP="00F172A1">
            <w:r w:rsidRPr="000659DF">
              <w:t xml:space="preserve">*Carriers were not included. </w:t>
            </w:r>
          </w:p>
          <w:p w:rsidR="00810328" w:rsidRPr="00810328" w:rsidRDefault="00810328" w:rsidP="0081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328" w:rsidRPr="00810328" w:rsidRDefault="00810328" w:rsidP="0081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2BF6" w:rsidRPr="00C902FD" w:rsidRDefault="00082BF6" w:rsidP="00F53317">
      <w:pPr>
        <w:rPr>
          <w:color w:val="FF0000"/>
        </w:rPr>
      </w:pPr>
    </w:p>
    <w:sectPr w:rsidR="00082BF6" w:rsidRPr="00C9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7F"/>
    <w:rsid w:val="0003094A"/>
    <w:rsid w:val="00036605"/>
    <w:rsid w:val="00074251"/>
    <w:rsid w:val="00082BF6"/>
    <w:rsid w:val="00177A7F"/>
    <w:rsid w:val="002165C2"/>
    <w:rsid w:val="0022058D"/>
    <w:rsid w:val="00291A56"/>
    <w:rsid w:val="002A4E16"/>
    <w:rsid w:val="0032143A"/>
    <w:rsid w:val="00470234"/>
    <w:rsid w:val="004F4767"/>
    <w:rsid w:val="005048FD"/>
    <w:rsid w:val="00561CBC"/>
    <w:rsid w:val="005766F0"/>
    <w:rsid w:val="00577886"/>
    <w:rsid w:val="0059106F"/>
    <w:rsid w:val="005F20E4"/>
    <w:rsid w:val="00742F16"/>
    <w:rsid w:val="00755E22"/>
    <w:rsid w:val="00760231"/>
    <w:rsid w:val="007A4B62"/>
    <w:rsid w:val="00810328"/>
    <w:rsid w:val="00830D31"/>
    <w:rsid w:val="008337EC"/>
    <w:rsid w:val="008376EA"/>
    <w:rsid w:val="00870819"/>
    <w:rsid w:val="00967846"/>
    <w:rsid w:val="009701CB"/>
    <w:rsid w:val="009F3294"/>
    <w:rsid w:val="00AA119D"/>
    <w:rsid w:val="00B124A1"/>
    <w:rsid w:val="00C06E23"/>
    <w:rsid w:val="00C51167"/>
    <w:rsid w:val="00C902FD"/>
    <w:rsid w:val="00D20FDF"/>
    <w:rsid w:val="00D27694"/>
    <w:rsid w:val="00D862EE"/>
    <w:rsid w:val="00D86FD2"/>
    <w:rsid w:val="00DF13D0"/>
    <w:rsid w:val="00ED14D5"/>
    <w:rsid w:val="00F172A1"/>
    <w:rsid w:val="00F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6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6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86FD2"/>
  </w:style>
  <w:style w:type="character" w:styleId="CommentReference">
    <w:name w:val="annotation reference"/>
    <w:basedOn w:val="DefaultParagraphFont"/>
    <w:uiPriority w:val="99"/>
    <w:semiHidden/>
    <w:unhideWhenUsed/>
    <w:rsid w:val="00AA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9D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17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6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6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86FD2"/>
  </w:style>
  <w:style w:type="character" w:styleId="CommentReference">
    <w:name w:val="annotation reference"/>
    <w:basedOn w:val="DefaultParagraphFont"/>
    <w:uiPriority w:val="99"/>
    <w:semiHidden/>
    <w:unhideWhenUsed/>
    <w:rsid w:val="00AA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9D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172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Ambry Genetics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McFarland</dc:creator>
  <cp:lastModifiedBy>Kathryn Carlson</cp:lastModifiedBy>
  <cp:revision>2</cp:revision>
  <dcterms:created xsi:type="dcterms:W3CDTF">2017-06-15T16:39:00Z</dcterms:created>
  <dcterms:modified xsi:type="dcterms:W3CDTF">2017-06-15T16:39:00Z</dcterms:modified>
</cp:coreProperties>
</file>