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99" w:rsidRPr="00942F36" w:rsidRDefault="00FD1099" w:rsidP="00307173">
      <w:pPr>
        <w:spacing w:after="240" w:line="240" w:lineRule="auto"/>
        <w:jc w:val="center"/>
        <w:rPr>
          <w:rFonts w:asciiTheme="majorHAnsi" w:eastAsia="Times New Roman" w:hAnsiTheme="majorHAnsi" w:cs="Times New Roman"/>
        </w:rPr>
      </w:pPr>
      <w:r w:rsidRPr="00942F36">
        <w:rPr>
          <w:rFonts w:asciiTheme="majorHAnsi" w:eastAsia="Times New Roman" w:hAnsiTheme="majorHAnsi" w:cs="Times New Roman"/>
          <w:b/>
        </w:rPr>
        <w:t>LETTER OF MEDICAL NECESSITY FOR</w:t>
      </w:r>
      <w:bookmarkStart w:id="0" w:name="_GoBack"/>
      <w:bookmarkEnd w:id="0"/>
      <w:r w:rsidRPr="00942F36">
        <w:rPr>
          <w:rFonts w:asciiTheme="majorHAnsi" w:eastAsia="Times New Roman" w:hAnsiTheme="majorHAnsi" w:cs="Times New Roman"/>
          <w:b/>
        </w:rPr>
        <w:t xml:space="preserve"> </w:t>
      </w:r>
      <w:r w:rsidR="00A80D8A" w:rsidRPr="00942F36">
        <w:rPr>
          <w:rFonts w:asciiTheme="majorHAnsi" w:eastAsia="Times New Roman" w:hAnsiTheme="majorHAnsi" w:cs="Times New Roman"/>
          <w:b/>
        </w:rPr>
        <w:t xml:space="preserve">HEREDITARY HEMORRHAGIC TELANGIECTASIA </w:t>
      </w:r>
      <w:r w:rsidR="00BF66D9" w:rsidRPr="00942F36">
        <w:rPr>
          <w:rFonts w:asciiTheme="majorHAnsi" w:eastAsia="Times New Roman" w:hAnsiTheme="majorHAnsi" w:cs="Times New Roman"/>
          <w:b/>
        </w:rPr>
        <w:t>(</w:t>
      </w:r>
      <w:r w:rsidR="00A80D8A" w:rsidRPr="00942F36">
        <w:rPr>
          <w:rFonts w:asciiTheme="majorHAnsi" w:eastAsia="Times New Roman" w:hAnsiTheme="majorHAnsi" w:cs="Times New Roman"/>
          <w:b/>
        </w:rPr>
        <w:t>HHTNext</w:t>
      </w:r>
      <w:r w:rsidR="00BF66D9" w:rsidRPr="00942F36">
        <w:rPr>
          <w:rFonts w:asciiTheme="majorHAnsi" w:eastAsia="Times New Roman" w:hAnsiTheme="majorHAnsi" w:cs="Times New Roman"/>
          <w:b/>
        </w:rPr>
        <w:t>)</w:t>
      </w:r>
    </w:p>
    <w:p w:rsidR="00FD1099" w:rsidRPr="00942F36" w:rsidRDefault="00FD1099" w:rsidP="00FD1099">
      <w:pPr>
        <w:spacing w:after="0" w:line="240" w:lineRule="auto"/>
        <w:rPr>
          <w:rFonts w:asciiTheme="majorHAnsi" w:eastAsia="Times New Roman" w:hAnsiTheme="majorHAnsi" w:cs="Times New Roman"/>
        </w:rPr>
      </w:pPr>
      <w:r w:rsidRPr="00942F36">
        <w:rPr>
          <w:rFonts w:asciiTheme="majorHAnsi" w:eastAsia="Times New Roman" w:hAnsiTheme="majorHAnsi" w:cs="Times New Roman"/>
        </w:rPr>
        <w:t xml:space="preserve">Date: </w:t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  <w:color w:val="00B0F0"/>
        </w:rPr>
        <w:t>Date of service/claim</w:t>
      </w:r>
      <w:r w:rsidRPr="00942F36">
        <w:rPr>
          <w:rFonts w:asciiTheme="majorHAnsi" w:eastAsia="Times New Roman" w:hAnsiTheme="majorHAnsi" w:cs="Times New Roman"/>
        </w:rPr>
        <w:t xml:space="preserve"> </w:t>
      </w:r>
    </w:p>
    <w:p w:rsidR="00FD1099" w:rsidRPr="00942F36" w:rsidRDefault="00FD1099" w:rsidP="00FD1099">
      <w:pPr>
        <w:spacing w:after="0" w:line="240" w:lineRule="auto"/>
        <w:ind w:left="5760" w:firstLine="720"/>
        <w:rPr>
          <w:rFonts w:asciiTheme="majorHAnsi" w:eastAsia="Times New Roman" w:hAnsiTheme="majorHAnsi" w:cs="Times New Roman"/>
        </w:rPr>
      </w:pPr>
      <w:r w:rsidRPr="00942F36">
        <w:rPr>
          <w:rFonts w:asciiTheme="majorHAnsi" w:eastAsia="Times New Roman" w:hAnsiTheme="majorHAnsi" w:cs="Times New Roman"/>
        </w:rPr>
        <w:t xml:space="preserve"> </w:t>
      </w:r>
    </w:p>
    <w:p w:rsidR="00FD1099" w:rsidRPr="00942F36" w:rsidRDefault="00FD1099" w:rsidP="00FD1099">
      <w:pPr>
        <w:spacing w:after="0" w:line="240" w:lineRule="auto"/>
        <w:rPr>
          <w:rFonts w:asciiTheme="majorHAnsi" w:eastAsia="Times New Roman" w:hAnsiTheme="majorHAnsi" w:cs="Times New Roman"/>
        </w:rPr>
      </w:pPr>
      <w:r w:rsidRPr="00942F36">
        <w:rPr>
          <w:rFonts w:asciiTheme="majorHAnsi" w:eastAsia="Times New Roman" w:hAnsiTheme="majorHAnsi" w:cs="Times New Roman"/>
        </w:rPr>
        <w:t>To:</w:t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  <w:t xml:space="preserve">Utilization Review Department </w:t>
      </w:r>
    </w:p>
    <w:p w:rsidR="00FD1099" w:rsidRPr="00942F36" w:rsidRDefault="00FD1099" w:rsidP="00FD1099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  <w:color w:val="00B0F0"/>
        </w:rPr>
        <w:t>Insurance Company Name, Address, City, State</w:t>
      </w:r>
    </w:p>
    <w:p w:rsidR="00FD1099" w:rsidRPr="00942F36" w:rsidRDefault="00FD1099" w:rsidP="00FD1099">
      <w:pPr>
        <w:spacing w:after="0" w:line="240" w:lineRule="auto"/>
        <w:rPr>
          <w:rFonts w:asciiTheme="majorHAnsi" w:eastAsia="Times New Roman" w:hAnsiTheme="majorHAnsi" w:cs="Times New Roman"/>
        </w:rPr>
      </w:pP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</w:p>
    <w:p w:rsidR="00FD1099" w:rsidRPr="00942F36" w:rsidRDefault="00FD1099" w:rsidP="00FD1099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942F36">
        <w:rPr>
          <w:rFonts w:asciiTheme="majorHAnsi" w:eastAsia="Times New Roman" w:hAnsiTheme="majorHAnsi" w:cs="Times New Roman"/>
        </w:rPr>
        <w:t>Re:</w:t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  <w:color w:val="00B0F0"/>
        </w:rPr>
        <w:t>Patient Name, DOB, ID #</w:t>
      </w:r>
    </w:p>
    <w:p w:rsidR="00FD1099" w:rsidRPr="00942F36" w:rsidRDefault="00FD1099" w:rsidP="00FD1099">
      <w:pPr>
        <w:spacing w:after="0" w:line="240" w:lineRule="auto"/>
        <w:rPr>
          <w:rFonts w:asciiTheme="majorHAnsi" w:eastAsia="Times New Roman" w:hAnsiTheme="majorHAnsi" w:cs="Times New Roman"/>
        </w:rPr>
      </w:pPr>
      <w:r w:rsidRPr="00942F36">
        <w:rPr>
          <w:rFonts w:asciiTheme="majorHAnsi" w:eastAsia="Times New Roman" w:hAnsiTheme="majorHAnsi" w:cs="Times New Roman"/>
          <w:color w:val="00B0F0"/>
        </w:rPr>
        <w:tab/>
      </w:r>
      <w:r w:rsidRPr="00942F36">
        <w:rPr>
          <w:rFonts w:asciiTheme="majorHAnsi" w:eastAsia="Times New Roman" w:hAnsiTheme="majorHAnsi" w:cs="Times New Roman"/>
          <w:color w:val="00B0F0"/>
        </w:rPr>
        <w:tab/>
      </w:r>
      <w:r w:rsidR="00234131">
        <w:rPr>
          <w:rFonts w:asciiTheme="majorHAnsi" w:eastAsia="Times New Roman" w:hAnsiTheme="majorHAnsi" w:cs="Times New Roman"/>
        </w:rPr>
        <w:t>ICD-10</w:t>
      </w:r>
      <w:r w:rsidRPr="00942F36">
        <w:rPr>
          <w:rFonts w:asciiTheme="majorHAnsi" w:eastAsia="Times New Roman" w:hAnsiTheme="majorHAnsi" w:cs="Times New Roman"/>
        </w:rPr>
        <w:t xml:space="preserve"> Codes:</w:t>
      </w:r>
      <w:r w:rsidRPr="00942F36">
        <w:rPr>
          <w:rFonts w:asciiTheme="majorHAnsi" w:eastAsia="Times New Roman" w:hAnsiTheme="majorHAnsi" w:cs="Times New Roman"/>
          <w:color w:val="00B0F0"/>
        </w:rPr>
        <w:t xml:space="preserve"> (list codes)</w:t>
      </w:r>
    </w:p>
    <w:p w:rsidR="00FD1099" w:rsidRPr="00942F36" w:rsidRDefault="00FD1099" w:rsidP="00FD1099">
      <w:pPr>
        <w:pBdr>
          <w:bottom w:val="single" w:sz="12" w:space="1" w:color="auto"/>
        </w:pBdr>
        <w:spacing w:after="0" w:line="240" w:lineRule="auto"/>
        <w:rPr>
          <w:rFonts w:asciiTheme="majorHAnsi" w:eastAsia="Times New Roman" w:hAnsiTheme="majorHAnsi" w:cs="Times New Roman"/>
        </w:rPr>
      </w:pP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</w:r>
      <w:r w:rsidRPr="00942F36">
        <w:rPr>
          <w:rFonts w:asciiTheme="majorHAnsi" w:eastAsia="Times New Roman" w:hAnsiTheme="majorHAnsi" w:cs="Times New Roman"/>
        </w:rPr>
        <w:tab/>
        <w:t xml:space="preserve">   </w:t>
      </w:r>
    </w:p>
    <w:p w:rsidR="00FD1099" w:rsidRPr="00942F36" w:rsidRDefault="00FD1099" w:rsidP="00FD1099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 w:cs="Arial"/>
        </w:rPr>
      </w:pPr>
      <w:r w:rsidRPr="00942F36">
        <w:rPr>
          <w:rFonts w:asciiTheme="majorHAnsi" w:hAnsiTheme="majorHAnsi"/>
        </w:rPr>
        <w:t xml:space="preserve">This letter is in regards to my patient and your subscriber, </w:t>
      </w:r>
      <w:r w:rsidRPr="00942F36">
        <w:rPr>
          <w:rFonts w:asciiTheme="majorHAnsi" w:hAnsiTheme="majorHAnsi" w:cs="Arial"/>
          <w:color w:val="00B0F0"/>
        </w:rPr>
        <w:t>First, Last Name</w:t>
      </w:r>
      <w:r w:rsidRPr="00942F36">
        <w:rPr>
          <w:rFonts w:asciiTheme="majorHAnsi" w:hAnsiTheme="majorHAnsi"/>
          <w:color w:val="00B0F0"/>
        </w:rPr>
        <w:t xml:space="preserve"> </w:t>
      </w:r>
      <w:r w:rsidRPr="00942F36">
        <w:rPr>
          <w:rFonts w:asciiTheme="majorHAnsi" w:hAnsiTheme="majorHAnsi"/>
        </w:rPr>
        <w:t xml:space="preserve">to request full coverage of medically-indicated </w:t>
      </w:r>
      <w:r w:rsidR="00A80D8A" w:rsidRPr="00942F36">
        <w:rPr>
          <w:rFonts w:asciiTheme="majorHAnsi" w:hAnsiTheme="majorHAnsi"/>
        </w:rPr>
        <w:t>genetic testing</w:t>
      </w:r>
      <w:r w:rsidR="00BF66D9" w:rsidRPr="00942F36">
        <w:rPr>
          <w:rFonts w:asciiTheme="majorHAnsi" w:hAnsiTheme="majorHAnsi"/>
        </w:rPr>
        <w:t xml:space="preserve"> </w:t>
      </w:r>
      <w:r w:rsidR="00A80D8A" w:rsidRPr="00942F36">
        <w:rPr>
          <w:rFonts w:asciiTheme="majorHAnsi" w:hAnsiTheme="majorHAnsi"/>
        </w:rPr>
        <w:t xml:space="preserve">for hereditary hemorrhagic telangiectasia </w:t>
      </w:r>
      <w:r w:rsidR="00BF66D9" w:rsidRPr="00942F36">
        <w:rPr>
          <w:rFonts w:asciiTheme="majorHAnsi" w:hAnsiTheme="majorHAnsi"/>
        </w:rPr>
        <w:t>(</w:t>
      </w:r>
      <w:r w:rsidR="00A80D8A" w:rsidRPr="00942F36">
        <w:rPr>
          <w:rFonts w:asciiTheme="majorHAnsi" w:hAnsiTheme="majorHAnsi"/>
        </w:rPr>
        <w:t>HHT</w:t>
      </w:r>
      <w:r w:rsidR="00BF66D9" w:rsidRPr="00942F36">
        <w:rPr>
          <w:rFonts w:asciiTheme="majorHAnsi" w:hAnsiTheme="majorHAnsi"/>
        </w:rPr>
        <w:t xml:space="preserve">) to be </w:t>
      </w:r>
      <w:r w:rsidRPr="00942F36">
        <w:rPr>
          <w:rFonts w:asciiTheme="majorHAnsi" w:hAnsiTheme="majorHAnsi"/>
        </w:rPr>
        <w:t xml:space="preserve">performed </w:t>
      </w:r>
      <w:r w:rsidR="00905EF0" w:rsidRPr="00942F36">
        <w:rPr>
          <w:rFonts w:asciiTheme="majorHAnsi" w:hAnsiTheme="majorHAnsi" w:cs="Arial"/>
        </w:rPr>
        <w:t>by Ambry Genetics Corporation.</w:t>
      </w:r>
    </w:p>
    <w:p w:rsidR="00A80D8A" w:rsidRPr="00942F36" w:rsidRDefault="00A80D8A" w:rsidP="006669FE">
      <w:pPr>
        <w:pStyle w:val="NoSpacing"/>
        <w:rPr>
          <w:rFonts w:asciiTheme="majorHAnsi" w:hAnsiTheme="majorHAnsi"/>
        </w:rPr>
      </w:pPr>
    </w:p>
    <w:p w:rsidR="00AB4A8F" w:rsidRPr="00942F36" w:rsidRDefault="00A80D8A" w:rsidP="006669FE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 xml:space="preserve">HHT causes malformations of the blood vessels, and is thought to occur in about 1 in 10,000 people in the U.S.; this is likely an underestimate due to those </w:t>
      </w:r>
      <w:r w:rsidR="00942F36" w:rsidRPr="00942F36">
        <w:rPr>
          <w:rFonts w:asciiTheme="majorHAnsi" w:hAnsiTheme="majorHAnsi"/>
        </w:rPr>
        <w:t xml:space="preserve">that go </w:t>
      </w:r>
      <w:r w:rsidRPr="00942F36">
        <w:rPr>
          <w:rFonts w:asciiTheme="majorHAnsi" w:hAnsiTheme="majorHAnsi"/>
        </w:rPr>
        <w:t>undiagnosed.</w:t>
      </w:r>
      <w:r w:rsidRPr="00942F36">
        <w:rPr>
          <w:rFonts w:asciiTheme="majorHAnsi" w:hAnsiTheme="majorHAnsi"/>
          <w:vertAlign w:val="superscript"/>
        </w:rPr>
        <w:t>1</w:t>
      </w:r>
      <w:r w:rsidRPr="00942F36">
        <w:rPr>
          <w:rFonts w:asciiTheme="majorHAnsi" w:hAnsiTheme="majorHAnsi"/>
        </w:rPr>
        <w:t xml:space="preserve"> </w:t>
      </w:r>
      <w:r w:rsidR="00942F36" w:rsidRPr="00942F36">
        <w:rPr>
          <w:rFonts w:asciiTheme="majorHAnsi" w:hAnsiTheme="majorHAnsi"/>
        </w:rPr>
        <w:t xml:space="preserve">Individuals </w:t>
      </w:r>
      <w:r w:rsidRPr="00942F36">
        <w:rPr>
          <w:rFonts w:asciiTheme="majorHAnsi" w:hAnsiTheme="majorHAnsi"/>
        </w:rPr>
        <w:t xml:space="preserve">with HHT typically have multiple arteriovenous malformations (AVMs), which can result in recurrent nosebleeds, GI bleeding, and bleeds to other parts of the body. Complications </w:t>
      </w:r>
      <w:r w:rsidR="00942F36" w:rsidRPr="00942F36">
        <w:rPr>
          <w:rFonts w:asciiTheme="majorHAnsi" w:hAnsiTheme="majorHAnsi"/>
        </w:rPr>
        <w:t>from these may be sudden and catastrophic, and may be age-dependent.</w:t>
      </w:r>
      <w:r w:rsidR="00942F36" w:rsidRPr="00942F36">
        <w:rPr>
          <w:rFonts w:asciiTheme="majorHAnsi" w:hAnsiTheme="majorHAnsi"/>
          <w:vertAlign w:val="superscript"/>
        </w:rPr>
        <w:t>2</w:t>
      </w:r>
    </w:p>
    <w:p w:rsidR="00AB4A8F" w:rsidRPr="00942F36" w:rsidRDefault="00AB4A8F" w:rsidP="00942F36">
      <w:pPr>
        <w:pStyle w:val="NoSpacing"/>
        <w:rPr>
          <w:rFonts w:asciiTheme="majorHAnsi" w:hAnsiTheme="majorHAnsi"/>
        </w:rPr>
      </w:pPr>
    </w:p>
    <w:p w:rsidR="00A80D8A" w:rsidRPr="00942F36" w:rsidRDefault="00A80D8A" w:rsidP="00942F36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>Mutations in many genes have been associated with HHT, and are inherited in an autosomal dominant pattern.</w:t>
      </w:r>
      <w:r w:rsidRPr="00942F36">
        <w:rPr>
          <w:rFonts w:asciiTheme="majorHAnsi" w:hAnsiTheme="majorHAnsi"/>
          <w:vertAlign w:val="superscript"/>
        </w:rPr>
        <w:t xml:space="preserve">2 </w:t>
      </w:r>
      <w:r w:rsidR="00942F36" w:rsidRPr="00942F36">
        <w:rPr>
          <w:rFonts w:asciiTheme="majorHAnsi" w:hAnsiTheme="majorHAnsi"/>
          <w:vertAlign w:val="superscript"/>
        </w:rPr>
        <w:t xml:space="preserve"> </w:t>
      </w:r>
      <w:r w:rsidRPr="00942F36">
        <w:rPr>
          <w:rFonts w:asciiTheme="majorHAnsi" w:hAnsiTheme="majorHAnsi"/>
        </w:rPr>
        <w:t>The most common genes associated are</w:t>
      </w:r>
      <w:r w:rsidRPr="00942F36">
        <w:rPr>
          <w:rFonts w:asciiTheme="majorHAnsi" w:hAnsiTheme="majorHAnsi"/>
          <w:i/>
          <w:iCs/>
          <w:color w:val="000000"/>
          <w:shd w:val="clear" w:color="auto" w:fill="FFFFFF"/>
        </w:rPr>
        <w:t xml:space="preserve"> </w:t>
      </w:r>
      <w:r w:rsidRPr="00942F36">
        <w:rPr>
          <w:rFonts w:asciiTheme="majorHAnsi" w:hAnsiTheme="majorHAnsi"/>
          <w:i/>
          <w:iCs/>
        </w:rPr>
        <w:t>ENG</w:t>
      </w:r>
      <w:r w:rsidRPr="00942F36">
        <w:rPr>
          <w:rFonts w:asciiTheme="majorHAnsi" w:hAnsiTheme="majorHAnsi"/>
        </w:rPr>
        <w:t> and </w:t>
      </w:r>
      <w:r w:rsidRPr="00942F36">
        <w:rPr>
          <w:rFonts w:asciiTheme="majorHAnsi" w:hAnsiTheme="majorHAnsi"/>
          <w:i/>
          <w:iCs/>
        </w:rPr>
        <w:t>ACVRL1</w:t>
      </w:r>
      <w:r w:rsidRPr="00942F36">
        <w:rPr>
          <w:rFonts w:asciiTheme="majorHAnsi" w:hAnsiTheme="majorHAnsi"/>
          <w:iCs/>
        </w:rPr>
        <w:t xml:space="preserve">, in which mutations are found in 85-95.7% of clinically affected individuals (depending on how strictly diagnostic criteria </w:t>
      </w:r>
      <w:r w:rsidR="00942F36" w:rsidRPr="00942F36">
        <w:rPr>
          <w:rFonts w:asciiTheme="majorHAnsi" w:hAnsiTheme="majorHAnsi"/>
          <w:iCs/>
        </w:rPr>
        <w:t>are followed</w:t>
      </w:r>
      <w:r w:rsidRPr="00942F36">
        <w:rPr>
          <w:rFonts w:asciiTheme="majorHAnsi" w:hAnsiTheme="majorHAnsi"/>
          <w:iCs/>
        </w:rPr>
        <w:t>)</w:t>
      </w:r>
      <w:r w:rsidR="00942F36" w:rsidRPr="00942F36">
        <w:rPr>
          <w:rFonts w:asciiTheme="majorHAnsi" w:hAnsiTheme="majorHAnsi"/>
          <w:iCs/>
        </w:rPr>
        <w:t xml:space="preserve">. </w:t>
      </w:r>
      <w:r w:rsidRPr="00942F36">
        <w:rPr>
          <w:rFonts w:asciiTheme="majorHAnsi" w:hAnsiTheme="majorHAnsi"/>
          <w:iCs/>
        </w:rPr>
        <w:t xml:space="preserve">Mutations in </w:t>
      </w:r>
      <w:r w:rsidRPr="00942F36">
        <w:rPr>
          <w:rFonts w:asciiTheme="majorHAnsi" w:hAnsiTheme="majorHAnsi"/>
          <w:i/>
          <w:iCs/>
        </w:rPr>
        <w:t>SMAD4</w:t>
      </w:r>
      <w:r w:rsidRPr="00942F36">
        <w:rPr>
          <w:rFonts w:asciiTheme="majorHAnsi" w:hAnsiTheme="majorHAnsi"/>
          <w:iCs/>
        </w:rPr>
        <w:t xml:space="preserve"> are found in about 1.4% of those with a clinical diagnosis</w:t>
      </w:r>
      <w:r w:rsidR="00942F36" w:rsidRPr="00942F36">
        <w:rPr>
          <w:rFonts w:asciiTheme="majorHAnsi" w:hAnsiTheme="majorHAnsi"/>
          <w:iCs/>
        </w:rPr>
        <w:t xml:space="preserve"> of HHT</w:t>
      </w:r>
      <w:r w:rsidRPr="00942F36">
        <w:rPr>
          <w:rFonts w:asciiTheme="majorHAnsi" w:hAnsiTheme="majorHAnsi"/>
          <w:iCs/>
        </w:rPr>
        <w:t>.</w:t>
      </w:r>
      <w:r w:rsidRPr="00942F36">
        <w:rPr>
          <w:rFonts w:asciiTheme="majorHAnsi" w:hAnsiTheme="majorHAnsi"/>
          <w:iCs/>
          <w:vertAlign w:val="superscript"/>
        </w:rPr>
        <w:t>3</w:t>
      </w:r>
      <w:r w:rsidRPr="00942F36">
        <w:rPr>
          <w:rFonts w:asciiTheme="majorHAnsi" w:hAnsiTheme="majorHAnsi"/>
          <w:iCs/>
        </w:rPr>
        <w:t xml:space="preserve"> </w:t>
      </w:r>
      <w:r w:rsidR="00942F36" w:rsidRPr="00942F36">
        <w:rPr>
          <w:rFonts w:asciiTheme="majorHAnsi" w:hAnsiTheme="majorHAnsi"/>
          <w:iCs/>
        </w:rPr>
        <w:t>Mutations in other genes</w:t>
      </w:r>
      <w:r w:rsidRPr="00942F36">
        <w:rPr>
          <w:rFonts w:asciiTheme="majorHAnsi" w:hAnsiTheme="majorHAnsi"/>
          <w:iCs/>
        </w:rPr>
        <w:t xml:space="preserve">, </w:t>
      </w:r>
      <w:r w:rsidRPr="00942F36">
        <w:rPr>
          <w:rFonts w:asciiTheme="majorHAnsi" w:hAnsiTheme="majorHAnsi"/>
          <w:i/>
          <w:iCs/>
        </w:rPr>
        <w:t xml:space="preserve">GDF2 </w:t>
      </w:r>
      <w:r w:rsidRPr="00942F36">
        <w:rPr>
          <w:rFonts w:asciiTheme="majorHAnsi" w:hAnsiTheme="majorHAnsi"/>
        </w:rPr>
        <w:t xml:space="preserve">and </w:t>
      </w:r>
      <w:r w:rsidRPr="00942F36">
        <w:rPr>
          <w:rFonts w:asciiTheme="majorHAnsi" w:hAnsiTheme="majorHAnsi"/>
          <w:i/>
        </w:rPr>
        <w:t>RASA1</w:t>
      </w:r>
      <w:r w:rsidRPr="00942F36">
        <w:rPr>
          <w:rFonts w:asciiTheme="majorHAnsi" w:hAnsiTheme="majorHAnsi"/>
        </w:rPr>
        <w:t xml:space="preserve">, are seen in smaller proportions of </w:t>
      </w:r>
      <w:r w:rsidR="00942F36" w:rsidRPr="00942F36">
        <w:rPr>
          <w:rFonts w:asciiTheme="majorHAnsi" w:hAnsiTheme="majorHAnsi"/>
        </w:rPr>
        <w:t>patients with HHT</w:t>
      </w:r>
      <w:r w:rsidRPr="00942F36">
        <w:rPr>
          <w:rFonts w:asciiTheme="majorHAnsi" w:hAnsiTheme="majorHAnsi"/>
        </w:rPr>
        <w:t>.  Deletions and duplications within these genes have also been reported.</w:t>
      </w:r>
      <w:r w:rsidRPr="00942F36">
        <w:rPr>
          <w:rFonts w:asciiTheme="majorHAnsi" w:hAnsiTheme="majorHAnsi"/>
          <w:vertAlign w:val="superscript"/>
        </w:rPr>
        <w:t>3</w:t>
      </w:r>
      <w:r w:rsidRPr="00942F36">
        <w:rPr>
          <w:rFonts w:asciiTheme="majorHAnsi" w:hAnsiTheme="majorHAnsi"/>
        </w:rPr>
        <w:t xml:space="preserve">  </w:t>
      </w:r>
    </w:p>
    <w:p w:rsidR="006669FE" w:rsidRPr="00942F36" w:rsidRDefault="006669FE" w:rsidP="00942F36">
      <w:pPr>
        <w:pStyle w:val="NoSpacing"/>
        <w:rPr>
          <w:rFonts w:asciiTheme="majorHAnsi" w:hAnsiTheme="majorHAnsi"/>
          <w:b/>
        </w:rPr>
      </w:pPr>
    </w:p>
    <w:p w:rsidR="00FD1099" w:rsidRPr="00942F36" w:rsidRDefault="006669FE" w:rsidP="006669FE">
      <w:pPr>
        <w:pStyle w:val="NoSpacing"/>
        <w:rPr>
          <w:rFonts w:asciiTheme="majorHAnsi" w:hAnsiTheme="majorHAnsi"/>
          <w:b/>
        </w:rPr>
      </w:pPr>
      <w:r w:rsidRPr="00942F36">
        <w:rPr>
          <w:rFonts w:asciiTheme="majorHAnsi" w:hAnsiTheme="majorHAnsi"/>
          <w:b/>
        </w:rPr>
        <w:t xml:space="preserve">My </w:t>
      </w:r>
      <w:r w:rsidR="000C4920" w:rsidRPr="00942F36">
        <w:rPr>
          <w:rFonts w:asciiTheme="majorHAnsi" w:hAnsiTheme="majorHAnsi"/>
          <w:b/>
        </w:rPr>
        <w:t xml:space="preserve">patient’s personal and/or </w:t>
      </w:r>
      <w:r w:rsidR="00C73B43" w:rsidRPr="00942F36">
        <w:rPr>
          <w:rFonts w:asciiTheme="majorHAnsi" w:hAnsiTheme="majorHAnsi"/>
          <w:b/>
        </w:rPr>
        <w:t>family history</w:t>
      </w:r>
      <w:r w:rsidRPr="00942F36">
        <w:rPr>
          <w:rFonts w:asciiTheme="majorHAnsi" w:hAnsiTheme="majorHAnsi"/>
          <w:b/>
        </w:rPr>
        <w:t>, as</w:t>
      </w:r>
      <w:r w:rsidR="00C73B43" w:rsidRPr="00942F36">
        <w:rPr>
          <w:rFonts w:asciiTheme="majorHAnsi" w:hAnsiTheme="majorHAnsi"/>
          <w:b/>
        </w:rPr>
        <w:t xml:space="preserve"> </w:t>
      </w:r>
      <w:r w:rsidRPr="00942F36">
        <w:rPr>
          <w:rFonts w:asciiTheme="majorHAnsi" w:hAnsiTheme="majorHAnsi"/>
          <w:b/>
        </w:rPr>
        <w:t>relevant to</w:t>
      </w:r>
      <w:r w:rsidR="00A80D8A" w:rsidRPr="00942F36">
        <w:rPr>
          <w:rFonts w:asciiTheme="majorHAnsi" w:hAnsiTheme="majorHAnsi"/>
          <w:b/>
        </w:rPr>
        <w:t xml:space="preserve"> HHT</w:t>
      </w:r>
      <w:r w:rsidRPr="00942F36">
        <w:rPr>
          <w:rFonts w:asciiTheme="majorHAnsi" w:hAnsiTheme="majorHAnsi"/>
          <w:b/>
        </w:rPr>
        <w:t>,</w:t>
      </w:r>
      <w:r w:rsidR="00C73B43" w:rsidRPr="00942F36">
        <w:rPr>
          <w:rFonts w:asciiTheme="majorHAnsi" w:hAnsiTheme="majorHAnsi"/>
          <w:b/>
        </w:rPr>
        <w:t xml:space="preserve"> is </w:t>
      </w:r>
      <w:r w:rsidR="00FD1099" w:rsidRPr="00942F36">
        <w:rPr>
          <w:rFonts w:asciiTheme="majorHAnsi" w:hAnsiTheme="majorHAnsi"/>
          <w:b/>
        </w:rPr>
        <w:t>below as applicable:</w:t>
      </w:r>
    </w:p>
    <w:p w:rsidR="006669FE" w:rsidRPr="00942F36" w:rsidRDefault="006669FE" w:rsidP="006669FE">
      <w:pPr>
        <w:pStyle w:val="NoSpacing"/>
        <w:rPr>
          <w:rFonts w:asciiTheme="majorHAnsi" w:hAnsiTheme="majorHAnsi"/>
          <w:b/>
        </w:rPr>
      </w:pPr>
    </w:p>
    <w:p w:rsidR="006669FE" w:rsidRPr="00942F36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B0F0"/>
        </w:rPr>
      </w:pPr>
    </w:p>
    <w:p w:rsidR="006669FE" w:rsidRPr="00942F36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color w:val="00B0F0"/>
        </w:rPr>
      </w:pPr>
    </w:p>
    <w:p w:rsidR="006669FE" w:rsidRPr="00942F36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color w:val="00B0F0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  <w:b/>
          <w:color w:val="00B0F0"/>
        </w:rPr>
      </w:pPr>
    </w:p>
    <w:p w:rsidR="00942F36" w:rsidRPr="00942F36" w:rsidRDefault="00C95BCB" w:rsidP="00942F36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>Given the above history</w:t>
      </w:r>
      <w:r w:rsidR="008B6378" w:rsidRPr="00942F36">
        <w:rPr>
          <w:rFonts w:asciiTheme="majorHAnsi" w:hAnsiTheme="majorHAnsi"/>
        </w:rPr>
        <w:t>,</w:t>
      </w:r>
      <w:r w:rsidRPr="00942F36">
        <w:rPr>
          <w:rFonts w:asciiTheme="majorHAnsi" w:hAnsiTheme="majorHAnsi"/>
        </w:rPr>
        <w:t xml:space="preserve"> </w:t>
      </w:r>
      <w:r w:rsidR="00DD1449" w:rsidRPr="00DD1449">
        <w:rPr>
          <w:rFonts w:asciiTheme="majorHAnsi" w:hAnsiTheme="majorHAnsi"/>
          <w:color w:val="00B0F0"/>
        </w:rPr>
        <w:t xml:space="preserve">my </w:t>
      </w:r>
      <w:r w:rsidR="007851AF" w:rsidRPr="00DD1449">
        <w:rPr>
          <w:rFonts w:asciiTheme="majorHAnsi" w:hAnsiTheme="majorHAnsi"/>
          <w:color w:val="00B0F0"/>
        </w:rPr>
        <w:t xml:space="preserve">patient meets the </w:t>
      </w:r>
      <w:r w:rsidR="00DD1449" w:rsidRPr="00DD1449">
        <w:rPr>
          <w:rFonts w:asciiTheme="majorHAnsi" w:hAnsiTheme="majorHAnsi"/>
          <w:color w:val="00B0F0"/>
        </w:rPr>
        <w:t>Curacao diagnostic criteria for HHT</w:t>
      </w:r>
      <w:r w:rsidR="00DD1449" w:rsidRPr="00DD1449">
        <w:rPr>
          <w:rFonts w:asciiTheme="majorHAnsi" w:hAnsiTheme="majorHAnsi"/>
          <w:color w:val="00B0F0"/>
          <w:vertAlign w:val="superscript"/>
        </w:rPr>
        <w:t>2</w:t>
      </w:r>
      <w:r w:rsidR="00DD1449" w:rsidRPr="00DD1449">
        <w:rPr>
          <w:rFonts w:asciiTheme="majorHAnsi" w:hAnsiTheme="majorHAnsi"/>
          <w:color w:val="00B0F0"/>
        </w:rPr>
        <w:t xml:space="preserve"> and/or</w:t>
      </w:r>
      <w:r w:rsidR="00DD1449">
        <w:rPr>
          <w:rFonts w:asciiTheme="majorHAnsi" w:hAnsiTheme="majorHAnsi"/>
        </w:rPr>
        <w:t xml:space="preserve"> t</w:t>
      </w:r>
      <w:r w:rsidRPr="00942F36">
        <w:rPr>
          <w:rFonts w:asciiTheme="majorHAnsi" w:hAnsiTheme="majorHAnsi"/>
        </w:rPr>
        <w:t xml:space="preserve">here is </w:t>
      </w:r>
      <w:r w:rsidR="00DD1449">
        <w:rPr>
          <w:rFonts w:asciiTheme="majorHAnsi" w:hAnsiTheme="majorHAnsi"/>
        </w:rPr>
        <w:t xml:space="preserve">a </w:t>
      </w:r>
      <w:r w:rsidR="007851AF">
        <w:rPr>
          <w:rFonts w:asciiTheme="majorHAnsi" w:hAnsiTheme="majorHAnsi"/>
        </w:rPr>
        <w:t xml:space="preserve">significant </w:t>
      </w:r>
      <w:r w:rsidRPr="00942F36">
        <w:rPr>
          <w:rFonts w:asciiTheme="majorHAnsi" w:hAnsiTheme="majorHAnsi"/>
        </w:rPr>
        <w:t xml:space="preserve">probability of identifying a mutation </w:t>
      </w:r>
      <w:r w:rsidR="00A80D8A" w:rsidRPr="00942F36">
        <w:rPr>
          <w:rFonts w:asciiTheme="majorHAnsi" w:hAnsiTheme="majorHAnsi"/>
        </w:rPr>
        <w:t xml:space="preserve">in an HHT-related gene </w:t>
      </w:r>
      <w:r w:rsidRPr="00942F36">
        <w:rPr>
          <w:rFonts w:asciiTheme="majorHAnsi" w:hAnsiTheme="majorHAnsi"/>
        </w:rPr>
        <w:t>in my</w:t>
      </w:r>
      <w:r w:rsidRPr="00234131">
        <w:rPr>
          <w:rFonts w:asciiTheme="majorHAnsi" w:hAnsiTheme="majorHAnsi"/>
        </w:rPr>
        <w:t xml:space="preserve"> patient. </w:t>
      </w:r>
      <w:r w:rsidR="00942F36" w:rsidRPr="00234131">
        <w:rPr>
          <w:rFonts w:asciiTheme="majorHAnsi" w:hAnsiTheme="majorHAnsi"/>
        </w:rPr>
        <w:t xml:space="preserve">This test (HHTNext) sequences the </w:t>
      </w:r>
      <w:r w:rsidR="00942F36" w:rsidRPr="00234131">
        <w:rPr>
          <w:rFonts w:asciiTheme="majorHAnsi" w:hAnsiTheme="majorHAnsi"/>
          <w:i/>
        </w:rPr>
        <w:t>ENG, ACVRL1, SMAD4, GDF2, RASA1</w:t>
      </w:r>
      <w:r w:rsidR="00942F36" w:rsidRPr="00234131">
        <w:rPr>
          <w:rFonts w:asciiTheme="majorHAnsi" w:hAnsiTheme="majorHAnsi"/>
        </w:rPr>
        <w:t xml:space="preserve"> genes and analyzes them for gross deletions/duplications. </w:t>
      </w:r>
      <w:r w:rsidR="00942F36" w:rsidRPr="00234131">
        <w:rPr>
          <w:rFonts w:asciiTheme="majorHAnsi" w:hAnsiTheme="majorHAnsi" w:cs="Arial"/>
        </w:rPr>
        <w:t>Due to the clinical overlap associated with mutations in</w:t>
      </w:r>
      <w:r w:rsidR="00942F36">
        <w:rPr>
          <w:rFonts w:asciiTheme="majorHAnsi" w:hAnsiTheme="majorHAnsi" w:cs="Arial"/>
        </w:rPr>
        <w:t xml:space="preserve"> these</w:t>
      </w:r>
      <w:r w:rsidR="00942F36" w:rsidRPr="00942F36">
        <w:rPr>
          <w:rFonts w:asciiTheme="majorHAnsi" w:hAnsiTheme="majorHAnsi" w:cs="Arial"/>
        </w:rPr>
        <w:t xml:space="preserve"> genes, this </w:t>
      </w:r>
      <w:r w:rsidR="00942F36" w:rsidRPr="00942F36">
        <w:rPr>
          <w:rFonts w:asciiTheme="majorHAnsi" w:hAnsiTheme="majorHAnsi"/>
        </w:rPr>
        <w:t>multi-gene test is the most efficient and cost-effective way to analyze</w:t>
      </w:r>
      <w:r w:rsidR="00942F36">
        <w:rPr>
          <w:rFonts w:asciiTheme="majorHAnsi" w:hAnsiTheme="majorHAnsi"/>
        </w:rPr>
        <w:t xml:space="preserve"> these genes.</w:t>
      </w:r>
      <w:r w:rsidR="00942F36" w:rsidRPr="00942F36">
        <w:rPr>
          <w:rFonts w:asciiTheme="majorHAnsi" w:hAnsiTheme="majorHAnsi"/>
        </w:rPr>
        <w:t xml:space="preserve"> Studies have demonstrated cost-effectiveness of genetic testing for individuals at risk for HHT</w:t>
      </w:r>
      <w:r w:rsidR="00942F36">
        <w:rPr>
          <w:rFonts w:asciiTheme="majorHAnsi" w:hAnsiTheme="majorHAnsi"/>
        </w:rPr>
        <w:t xml:space="preserve">, as </w:t>
      </w:r>
      <w:r w:rsidR="00942F36" w:rsidRPr="00942F36">
        <w:rPr>
          <w:rFonts w:asciiTheme="majorHAnsi" w:hAnsiTheme="majorHAnsi"/>
        </w:rPr>
        <w:t>compared to the cost of repeated long-term screening.</w:t>
      </w:r>
      <w:r w:rsidR="00942F36" w:rsidRPr="00942F36">
        <w:rPr>
          <w:rFonts w:asciiTheme="majorHAnsi" w:hAnsiTheme="majorHAnsi"/>
          <w:vertAlign w:val="superscript"/>
        </w:rPr>
        <w:t>4</w:t>
      </w:r>
      <w:r w:rsidR="00942F36" w:rsidRPr="00942F36">
        <w:rPr>
          <w:rFonts w:asciiTheme="majorHAnsi" w:hAnsiTheme="majorHAnsi"/>
        </w:rPr>
        <w:t xml:space="preserve">  </w:t>
      </w:r>
    </w:p>
    <w:p w:rsidR="00942F36" w:rsidRPr="00942F36" w:rsidRDefault="00942F36" w:rsidP="00942F36">
      <w:pPr>
        <w:pStyle w:val="NoSpacing"/>
        <w:rPr>
          <w:rFonts w:asciiTheme="majorHAnsi" w:hAnsiTheme="majorHAnsi"/>
          <w:b/>
        </w:rPr>
      </w:pPr>
    </w:p>
    <w:p w:rsidR="00942F36" w:rsidRPr="00942F36" w:rsidRDefault="00942F36" w:rsidP="00942F36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  <w:b/>
        </w:rPr>
        <w:t>Confirmation that my patient has HHT through molecular genetic testing will directly impact my patient’s care and management</w:t>
      </w:r>
      <w:r w:rsidRPr="00942F36">
        <w:rPr>
          <w:rFonts w:asciiTheme="majorHAnsi" w:hAnsiTheme="majorHAnsi"/>
        </w:rPr>
        <w:t xml:space="preserve">. A positive genetic test result can provide the following benefits to my patient: </w:t>
      </w:r>
    </w:p>
    <w:p w:rsidR="00942F36" w:rsidRPr="00942F36" w:rsidRDefault="00942F36" w:rsidP="00942F36">
      <w:pPr>
        <w:pStyle w:val="NoSpacing"/>
        <w:rPr>
          <w:rFonts w:asciiTheme="majorHAnsi" w:hAnsiTheme="majorHAnsi"/>
        </w:rPr>
      </w:pPr>
    </w:p>
    <w:p w:rsidR="00942F36" w:rsidRPr="00942F36" w:rsidRDefault="00052F8D" w:rsidP="00942F36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DD1449">
        <w:rPr>
          <w:rFonts w:asciiTheme="majorHAnsi" w:hAnsiTheme="majorHAnsi"/>
        </w:rPr>
        <w:t xml:space="preserve">Confirm </w:t>
      </w:r>
      <w:r w:rsidR="00DD1449">
        <w:rPr>
          <w:rFonts w:asciiTheme="majorHAnsi" w:hAnsiTheme="majorHAnsi"/>
        </w:rPr>
        <w:t xml:space="preserve">a </w:t>
      </w:r>
      <w:r w:rsidRPr="00DD1449">
        <w:rPr>
          <w:rFonts w:asciiTheme="majorHAnsi" w:hAnsiTheme="majorHAnsi"/>
        </w:rPr>
        <w:t>diagnosis</w:t>
      </w:r>
      <w:r w:rsidR="00942F36" w:rsidRPr="00942F36">
        <w:rPr>
          <w:rFonts w:asciiTheme="majorHAnsi" w:hAnsiTheme="majorHAnsi"/>
        </w:rPr>
        <w:t xml:space="preserve">, particularly </w:t>
      </w:r>
      <w:r w:rsidR="00942F36">
        <w:rPr>
          <w:rFonts w:asciiTheme="majorHAnsi" w:hAnsiTheme="majorHAnsi"/>
        </w:rPr>
        <w:t xml:space="preserve">if clinical presentation is </w:t>
      </w:r>
      <w:r w:rsidR="00942F36" w:rsidRPr="00942F36">
        <w:rPr>
          <w:rFonts w:asciiTheme="majorHAnsi" w:hAnsiTheme="majorHAnsi"/>
        </w:rPr>
        <w:t xml:space="preserve">subtle or atypical </w:t>
      </w:r>
    </w:p>
    <w:p w:rsidR="00942F36" w:rsidRPr="00942F36" w:rsidRDefault="00942F36" w:rsidP="00942F36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942F36">
        <w:rPr>
          <w:rFonts w:asciiTheme="majorHAnsi" w:hAnsiTheme="majorHAnsi"/>
        </w:rPr>
        <w:t>Tailor medical treatment</w:t>
      </w:r>
      <w:r w:rsidRPr="00052F8D">
        <w:rPr>
          <w:rFonts w:asciiTheme="majorHAnsi" w:hAnsiTheme="majorHAnsi"/>
          <w:color w:val="9BBB59" w:themeColor="accent3"/>
        </w:rPr>
        <w:t xml:space="preserve"> </w:t>
      </w:r>
      <w:r w:rsidRPr="00942F36">
        <w:rPr>
          <w:rFonts w:asciiTheme="majorHAnsi" w:hAnsiTheme="majorHAnsi"/>
        </w:rPr>
        <w:t>(</w:t>
      </w:r>
      <w:r w:rsidRPr="00942F36">
        <w:rPr>
          <w:rFonts w:asciiTheme="majorHAnsi" w:hAnsiTheme="majorHAnsi"/>
          <w:i/>
        </w:rPr>
        <w:t xml:space="preserve">e.g. </w:t>
      </w:r>
      <w:r w:rsidRPr="00942F36">
        <w:rPr>
          <w:rFonts w:asciiTheme="majorHAnsi" w:hAnsiTheme="majorHAnsi"/>
        </w:rPr>
        <w:t xml:space="preserve">some clinical symptoms may be more common with mutations in certain genes, such as </w:t>
      </w:r>
      <w:r w:rsidRPr="00942F36">
        <w:rPr>
          <w:rFonts w:asciiTheme="majorHAnsi" w:hAnsiTheme="majorHAnsi"/>
          <w:i/>
        </w:rPr>
        <w:t>ENG</w:t>
      </w:r>
      <w:r w:rsidRPr="00942F36">
        <w:rPr>
          <w:rFonts w:asciiTheme="majorHAnsi" w:hAnsiTheme="majorHAnsi"/>
        </w:rPr>
        <w:t xml:space="preserve"> and </w:t>
      </w:r>
      <w:r w:rsidRPr="00942F36">
        <w:rPr>
          <w:rFonts w:asciiTheme="majorHAnsi" w:hAnsiTheme="majorHAnsi"/>
          <w:i/>
        </w:rPr>
        <w:t>ACVRL1</w:t>
      </w:r>
      <w:r w:rsidR="00DD1449" w:rsidRPr="00DD1449">
        <w:rPr>
          <w:rFonts w:asciiTheme="majorHAnsi" w:hAnsiTheme="majorHAnsi"/>
          <w:vertAlign w:val="superscript"/>
        </w:rPr>
        <w:t>2</w:t>
      </w:r>
      <w:r w:rsidRPr="00942F36">
        <w:rPr>
          <w:rFonts w:asciiTheme="majorHAnsi" w:hAnsiTheme="majorHAnsi"/>
        </w:rPr>
        <w:t>)</w:t>
      </w:r>
    </w:p>
    <w:p w:rsidR="00942F36" w:rsidRPr="00942F36" w:rsidRDefault="00942F36" w:rsidP="00942F36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942F36">
        <w:rPr>
          <w:rFonts w:asciiTheme="majorHAnsi" w:hAnsiTheme="majorHAnsi"/>
        </w:rPr>
        <w:lastRenderedPageBreak/>
        <w:t xml:space="preserve">Allow </w:t>
      </w:r>
      <w:r w:rsidR="00052F8D">
        <w:rPr>
          <w:rFonts w:asciiTheme="majorHAnsi" w:hAnsiTheme="majorHAnsi"/>
        </w:rPr>
        <w:t xml:space="preserve">anticipatory guidance for medical care </w:t>
      </w:r>
      <w:r>
        <w:rPr>
          <w:rFonts w:asciiTheme="majorHAnsi" w:hAnsiTheme="majorHAnsi"/>
        </w:rPr>
        <w:t>(</w:t>
      </w:r>
      <w:r w:rsidRPr="00942F36">
        <w:rPr>
          <w:rFonts w:asciiTheme="majorHAnsi" w:hAnsiTheme="majorHAnsi"/>
          <w:i/>
        </w:rPr>
        <w:t>e.g.</w:t>
      </w:r>
      <w:r>
        <w:rPr>
          <w:rFonts w:asciiTheme="majorHAnsi" w:hAnsiTheme="majorHAnsi"/>
        </w:rPr>
        <w:t xml:space="preserve"> managing </w:t>
      </w:r>
      <w:r w:rsidRPr="00942F36">
        <w:rPr>
          <w:rFonts w:asciiTheme="majorHAnsi" w:hAnsiTheme="majorHAnsi"/>
        </w:rPr>
        <w:t>AVM risk during dental and invasive procedures)</w:t>
      </w:r>
    </w:p>
    <w:p w:rsidR="00FD1099" w:rsidRDefault="00942F36" w:rsidP="00942F36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Help identify at-risk family members (including children) </w:t>
      </w:r>
    </w:p>
    <w:p w:rsidR="00942F36" w:rsidRPr="00942F36" w:rsidRDefault="00942F36" w:rsidP="00942F36">
      <w:pPr>
        <w:pStyle w:val="NoSpacing"/>
        <w:ind w:left="720"/>
        <w:rPr>
          <w:rFonts w:asciiTheme="majorHAnsi" w:hAnsiTheme="majorHAnsi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  <w:b/>
        </w:rPr>
      </w:pPr>
      <w:r w:rsidRPr="00942F36">
        <w:rPr>
          <w:rFonts w:asciiTheme="majorHAnsi" w:hAnsiTheme="majorHAnsi"/>
        </w:rPr>
        <w:t xml:space="preserve">Due to medical risks associated </w:t>
      </w:r>
      <w:r w:rsidR="00942F36">
        <w:rPr>
          <w:rFonts w:asciiTheme="majorHAnsi" w:hAnsiTheme="majorHAnsi"/>
        </w:rPr>
        <w:t>with mutations in genes in this test</w:t>
      </w:r>
      <w:r w:rsidR="00942F36" w:rsidRPr="00942F36">
        <w:rPr>
          <w:rFonts w:asciiTheme="majorHAnsi" w:hAnsiTheme="majorHAnsi"/>
        </w:rPr>
        <w:t xml:space="preserve"> </w:t>
      </w:r>
      <w:r w:rsidRPr="00942F36">
        <w:rPr>
          <w:rFonts w:asciiTheme="majorHAnsi" w:hAnsiTheme="majorHAnsi"/>
        </w:rPr>
        <w:t xml:space="preserve">and </w:t>
      </w:r>
      <w:r w:rsidR="00942F36">
        <w:rPr>
          <w:rFonts w:asciiTheme="majorHAnsi" w:hAnsiTheme="majorHAnsi"/>
        </w:rPr>
        <w:t xml:space="preserve">the available </w:t>
      </w:r>
      <w:r w:rsidRPr="00942F36">
        <w:rPr>
          <w:rFonts w:asciiTheme="majorHAnsi" w:hAnsiTheme="majorHAnsi"/>
        </w:rPr>
        <w:t xml:space="preserve">interventions, this genetic testing is medically warranted.  </w:t>
      </w:r>
      <w:r w:rsidRPr="00942F36">
        <w:rPr>
          <w:rFonts w:asciiTheme="majorHAnsi" w:hAnsiTheme="majorHAnsi"/>
          <w:b/>
        </w:rPr>
        <w:t>As such, I am ordering this testing as medically necessary and affirm that my patient has provided informed consent for genetic testing.</w:t>
      </w: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</w:p>
    <w:p w:rsidR="00037620" w:rsidRPr="00942F36" w:rsidRDefault="00037620" w:rsidP="00037620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>A positive test result would confirm a genetic diagnosis and/or risk in my patient, and would ensure my patient is being managed appropriately. I am specifying Ambry Genetics Corporation bec</w:t>
      </w:r>
      <w:r w:rsidR="00BF66D9" w:rsidRPr="00942F36">
        <w:rPr>
          <w:rFonts w:asciiTheme="majorHAnsi" w:hAnsiTheme="majorHAnsi"/>
        </w:rPr>
        <w:t>ause this laboratory has highly-</w:t>
      </w:r>
      <w:r w:rsidRPr="00942F36">
        <w:rPr>
          <w:rFonts w:asciiTheme="majorHAnsi" w:hAnsiTheme="majorHAnsi"/>
        </w:rPr>
        <w:t>sensitive and</w:t>
      </w:r>
      <w:r w:rsidR="00BF66D9" w:rsidRPr="00942F36">
        <w:rPr>
          <w:rFonts w:asciiTheme="majorHAnsi" w:hAnsiTheme="majorHAnsi"/>
        </w:rPr>
        <w:t xml:space="preserve"> cost-effective testing </w:t>
      </w:r>
      <w:r w:rsidR="00942F36">
        <w:rPr>
          <w:rFonts w:asciiTheme="majorHAnsi" w:hAnsiTheme="majorHAnsi"/>
        </w:rPr>
        <w:t>for HHT</w:t>
      </w:r>
      <w:r w:rsidRPr="00942F36">
        <w:rPr>
          <w:rFonts w:asciiTheme="majorHAnsi" w:hAnsiTheme="majorHAnsi"/>
        </w:rPr>
        <w:t xml:space="preserve">, along with a large database of tested patients to ensure highly validated, accurate, and informative test interpretation.  </w:t>
      </w: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 xml:space="preserve">I recommend that you support this request for coverage </w:t>
      </w:r>
      <w:r w:rsidR="00AE1453" w:rsidRPr="00942F36">
        <w:rPr>
          <w:rFonts w:asciiTheme="majorHAnsi" w:hAnsiTheme="majorHAnsi"/>
        </w:rPr>
        <w:t xml:space="preserve">of </w:t>
      </w:r>
      <w:r w:rsidR="00942F36" w:rsidRPr="00942F36">
        <w:rPr>
          <w:rFonts w:asciiTheme="majorHAnsi" w:hAnsiTheme="majorHAnsi"/>
        </w:rPr>
        <w:t xml:space="preserve">this testing </w:t>
      </w:r>
      <w:r w:rsidR="00942F36" w:rsidRPr="00234131">
        <w:rPr>
          <w:rFonts w:asciiTheme="majorHAnsi" w:hAnsiTheme="majorHAnsi"/>
        </w:rPr>
        <w:t xml:space="preserve">(HHTNext) </w:t>
      </w:r>
      <w:r w:rsidRPr="00234131">
        <w:rPr>
          <w:rFonts w:asciiTheme="majorHAnsi" w:hAnsiTheme="majorHAnsi"/>
        </w:rPr>
        <w:t xml:space="preserve">in </w:t>
      </w:r>
      <w:r w:rsidRPr="00942F36">
        <w:rPr>
          <w:rFonts w:asciiTheme="majorHAnsi" w:hAnsiTheme="majorHAnsi"/>
        </w:rPr>
        <w:t xml:space="preserve">my patient. Depending on the exact test ordered, genetic testing can take up to several </w:t>
      </w:r>
      <w:r w:rsidR="00D0317F" w:rsidRPr="00942F36">
        <w:rPr>
          <w:rFonts w:asciiTheme="majorHAnsi" w:hAnsiTheme="majorHAnsi"/>
        </w:rPr>
        <w:t xml:space="preserve">weeks </w:t>
      </w:r>
      <w:r w:rsidRPr="00942F36">
        <w:rPr>
          <w:rFonts w:asciiTheme="majorHAnsi" w:hAnsiTheme="majorHAnsi"/>
        </w:rPr>
        <w:t xml:space="preserve">to complete and the laboratory will bill </w:t>
      </w:r>
      <w:r w:rsidR="00052F8D">
        <w:rPr>
          <w:rFonts w:asciiTheme="majorHAnsi" w:hAnsiTheme="majorHAnsi"/>
        </w:rPr>
        <w:t xml:space="preserve">only after </w:t>
      </w:r>
      <w:r w:rsidRPr="00942F36">
        <w:rPr>
          <w:rFonts w:asciiTheme="majorHAnsi" w:hAnsiTheme="majorHAnsi"/>
        </w:rPr>
        <w:t xml:space="preserve">testing is </w:t>
      </w:r>
      <w:r w:rsidR="00DD1449">
        <w:rPr>
          <w:rFonts w:asciiTheme="majorHAnsi" w:hAnsiTheme="majorHAnsi"/>
        </w:rPr>
        <w:t>complete</w:t>
      </w:r>
      <w:r w:rsidRPr="00942F36">
        <w:rPr>
          <w:rFonts w:asciiTheme="majorHAnsi" w:hAnsiTheme="majorHAnsi"/>
        </w:rPr>
        <w:t xml:space="preserve">. Therefore, we are requesting that the authorization be valid for </w:t>
      </w:r>
      <w:r w:rsidR="00052F8D">
        <w:rPr>
          <w:rFonts w:asciiTheme="majorHAnsi" w:hAnsiTheme="majorHAnsi"/>
        </w:rPr>
        <w:t xml:space="preserve">a minimum of </w:t>
      </w:r>
      <w:r w:rsidR="00942F36">
        <w:rPr>
          <w:rFonts w:asciiTheme="majorHAnsi" w:hAnsiTheme="majorHAnsi"/>
          <w:b/>
        </w:rPr>
        <w:t>6</w:t>
      </w:r>
      <w:r w:rsidRPr="00942F36">
        <w:rPr>
          <w:rFonts w:asciiTheme="majorHAnsi" w:hAnsiTheme="majorHAnsi"/>
          <w:b/>
        </w:rPr>
        <w:t xml:space="preserve"> months</w:t>
      </w:r>
      <w:r w:rsidRPr="00942F36">
        <w:rPr>
          <w:rFonts w:asciiTheme="majorHAnsi" w:hAnsiTheme="majorHAnsi"/>
        </w:rPr>
        <w:t xml:space="preserve">. Thank you for your time and please don’t hesitate to contact me with any questions. </w:t>
      </w: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>Sincerely,</w:t>
      </w: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  <w:color w:val="00B0F0"/>
        </w:rPr>
        <w:t>Ordering Clinician Name</w:t>
      </w:r>
      <w:r w:rsidRPr="00942F36">
        <w:rPr>
          <w:rFonts w:asciiTheme="majorHAnsi" w:hAnsiTheme="majorHAnsi"/>
        </w:rPr>
        <w:t xml:space="preserve"> (Signature Provided on Test Requisition Form) </w:t>
      </w:r>
    </w:p>
    <w:p w:rsidR="00FD1099" w:rsidRPr="00942F36" w:rsidRDefault="00FD1099" w:rsidP="006669FE">
      <w:pPr>
        <w:pStyle w:val="NoSpacing"/>
        <w:rPr>
          <w:rFonts w:asciiTheme="majorHAnsi" w:hAnsiTheme="majorHAnsi" w:cs="Arial"/>
        </w:rPr>
      </w:pPr>
      <w:r w:rsidRPr="00942F36">
        <w:rPr>
          <w:rFonts w:asciiTheme="majorHAnsi" w:hAnsiTheme="majorHAnsi" w:cs="Arial"/>
        </w:rPr>
        <w:t xml:space="preserve">(MD/DO, Clinical Nurse Specialist, Nurse-Midwives, Nurse Practitioner, Physician Assistant, Genetic Counselor*) </w:t>
      </w:r>
    </w:p>
    <w:p w:rsidR="00FD1099" w:rsidRPr="00942F36" w:rsidRDefault="00FD1099" w:rsidP="006669FE">
      <w:pPr>
        <w:pStyle w:val="NoSpacing"/>
        <w:rPr>
          <w:rFonts w:asciiTheme="majorHAnsi" w:hAnsiTheme="majorHAnsi" w:cs="Arial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 xml:space="preserve">*Authorized clinician requirements vary by state </w:t>
      </w: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  <w:b/>
        </w:rPr>
      </w:pPr>
      <w:r w:rsidRPr="00942F36">
        <w:rPr>
          <w:rFonts w:asciiTheme="majorHAnsi" w:hAnsiTheme="majorHAnsi"/>
          <w:b/>
        </w:rPr>
        <w:t>Test Details</w:t>
      </w:r>
    </w:p>
    <w:p w:rsidR="006669FE" w:rsidRPr="00942F36" w:rsidRDefault="006669FE" w:rsidP="006669FE">
      <w:pPr>
        <w:pStyle w:val="NoSpacing"/>
        <w:rPr>
          <w:rFonts w:asciiTheme="majorHAnsi" w:hAnsiTheme="majorHAnsi"/>
          <w:b/>
        </w:rPr>
      </w:pPr>
    </w:p>
    <w:p w:rsidR="00FD1099" w:rsidRPr="00942F36" w:rsidRDefault="00FD1099" w:rsidP="006669FE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 xml:space="preserve">CPT codes: </w:t>
      </w:r>
      <w:r w:rsidRPr="00942F36">
        <w:rPr>
          <w:rFonts w:asciiTheme="majorHAnsi" w:hAnsiTheme="majorHAnsi"/>
        </w:rPr>
        <w:tab/>
      </w:r>
      <w:r w:rsidR="00903C3D">
        <w:rPr>
          <w:rFonts w:asciiTheme="majorHAnsi" w:hAnsiTheme="majorHAnsi"/>
        </w:rPr>
        <w:t xml:space="preserve"> </w:t>
      </w:r>
      <w:r w:rsidR="00234131">
        <w:rPr>
          <w:rFonts w:asciiTheme="majorHAnsi" w:hAnsiTheme="majorHAnsi"/>
        </w:rPr>
        <w:t>81405x2, 81406x2, 81479x4</w:t>
      </w:r>
      <w:r w:rsidR="00942F36" w:rsidRPr="00942F36">
        <w:rPr>
          <w:rFonts w:asciiTheme="majorHAnsi" w:hAnsiTheme="majorHAnsi"/>
        </w:rPr>
        <w:t xml:space="preserve"> </w:t>
      </w:r>
    </w:p>
    <w:p w:rsidR="006669FE" w:rsidRPr="00942F36" w:rsidRDefault="006669FE" w:rsidP="006669FE">
      <w:pPr>
        <w:pStyle w:val="NoSpacing"/>
        <w:ind w:left="1440" w:hanging="1440"/>
        <w:rPr>
          <w:rFonts w:asciiTheme="majorHAnsi" w:hAnsiTheme="majorHAnsi"/>
        </w:rPr>
      </w:pPr>
    </w:p>
    <w:p w:rsidR="00FD1099" w:rsidRPr="00942F36" w:rsidRDefault="00FD1099" w:rsidP="006669FE">
      <w:pPr>
        <w:pStyle w:val="NoSpacing"/>
        <w:ind w:left="1440" w:hanging="1440"/>
        <w:rPr>
          <w:rFonts w:asciiTheme="majorHAnsi" w:hAnsiTheme="majorHAnsi" w:cs="Arial"/>
        </w:rPr>
      </w:pPr>
      <w:r w:rsidRPr="00942F36">
        <w:rPr>
          <w:rFonts w:asciiTheme="majorHAnsi" w:hAnsiTheme="majorHAnsi"/>
        </w:rPr>
        <w:t xml:space="preserve">Laboratory: </w:t>
      </w:r>
      <w:r w:rsidRPr="00942F36">
        <w:rPr>
          <w:rFonts w:asciiTheme="majorHAnsi" w:hAnsiTheme="majorHAnsi"/>
        </w:rPr>
        <w:tab/>
      </w:r>
      <w:r w:rsidRPr="00942F36">
        <w:rPr>
          <w:rFonts w:asciiTheme="majorHAnsi" w:hAnsiTheme="majorHAnsi" w:cs="Arial"/>
        </w:rPr>
        <w:t>Ambry Genetics Corporation (TIN 33-0892453 / NPI 1861568784), a CAP-</w:t>
      </w:r>
      <w:r w:rsidR="006669FE" w:rsidRPr="00942F36">
        <w:rPr>
          <w:rFonts w:asciiTheme="majorHAnsi" w:hAnsiTheme="majorHAnsi" w:cs="Arial"/>
        </w:rPr>
        <w:t xml:space="preserve">accredited and </w:t>
      </w:r>
      <w:r w:rsidRPr="00942F36">
        <w:rPr>
          <w:rFonts w:asciiTheme="majorHAnsi" w:hAnsiTheme="majorHAnsi" w:cs="Arial"/>
        </w:rPr>
        <w:t xml:space="preserve">CLIA-certified </w:t>
      </w:r>
      <w:r w:rsidR="00914075">
        <w:rPr>
          <w:rFonts w:asciiTheme="majorHAnsi" w:hAnsiTheme="majorHAnsi" w:cs="Arial"/>
        </w:rPr>
        <w:t>laboratory located at 7</w:t>
      </w:r>
      <w:r w:rsidRPr="00942F36">
        <w:rPr>
          <w:rFonts w:asciiTheme="majorHAnsi" w:hAnsiTheme="majorHAnsi" w:cs="Arial"/>
        </w:rPr>
        <w:t xml:space="preserve"> Argonaut, Aliso Viejo, CA 92656</w:t>
      </w:r>
    </w:p>
    <w:p w:rsidR="00FD1099" w:rsidRPr="00942F36" w:rsidRDefault="00FD1099" w:rsidP="006669FE">
      <w:pPr>
        <w:pStyle w:val="NoSpacing"/>
        <w:rPr>
          <w:rFonts w:asciiTheme="majorHAnsi" w:hAnsiTheme="majorHAnsi" w:cs="Arial"/>
        </w:rPr>
      </w:pPr>
    </w:p>
    <w:p w:rsidR="00573B7F" w:rsidRPr="00942F36" w:rsidRDefault="00573B7F" w:rsidP="00BF66D9">
      <w:pPr>
        <w:pStyle w:val="NoSpacing"/>
        <w:rPr>
          <w:rFonts w:asciiTheme="majorHAnsi" w:hAnsiTheme="majorHAnsi"/>
        </w:rPr>
      </w:pPr>
      <w:r w:rsidRPr="00942F36">
        <w:rPr>
          <w:rFonts w:asciiTheme="majorHAnsi" w:hAnsiTheme="majorHAnsi"/>
        </w:rPr>
        <w:t>References:</w:t>
      </w:r>
    </w:p>
    <w:p w:rsidR="00D25A5D" w:rsidRPr="00942F36" w:rsidRDefault="00D25A5D" w:rsidP="00BF66D9">
      <w:pPr>
        <w:pStyle w:val="NoSpacing"/>
        <w:rPr>
          <w:rFonts w:asciiTheme="majorHAnsi" w:hAnsiTheme="majorHAnsi"/>
        </w:rPr>
      </w:pPr>
    </w:p>
    <w:p w:rsidR="00A80D8A" w:rsidRPr="00942F36" w:rsidRDefault="00A80D8A" w:rsidP="00A80D8A">
      <w:pPr>
        <w:pStyle w:val="ListParagraph"/>
        <w:numPr>
          <w:ilvl w:val="0"/>
          <w:numId w:val="8"/>
        </w:numPr>
        <w:rPr>
          <w:rStyle w:val="Hyperlink"/>
          <w:rFonts w:asciiTheme="majorHAnsi" w:hAnsiTheme="majorHAnsi"/>
          <w:color w:val="auto"/>
          <w:sz w:val="20"/>
          <w:u w:val="none"/>
        </w:rPr>
      </w:pPr>
      <w:r w:rsidRPr="00942F36">
        <w:rPr>
          <w:rFonts w:asciiTheme="majorHAnsi" w:hAnsiTheme="majorHAnsi"/>
          <w:sz w:val="20"/>
        </w:rPr>
        <w:t>McDonald J</w:t>
      </w:r>
      <w:r w:rsidR="00942F36">
        <w:rPr>
          <w:rFonts w:asciiTheme="majorHAnsi" w:hAnsiTheme="majorHAnsi"/>
          <w:sz w:val="20"/>
        </w:rPr>
        <w:t>,</w:t>
      </w:r>
      <w:r w:rsidRPr="00942F36">
        <w:rPr>
          <w:rFonts w:asciiTheme="majorHAnsi" w:hAnsiTheme="majorHAnsi"/>
          <w:sz w:val="20"/>
        </w:rPr>
        <w:t xml:space="preserve"> </w:t>
      </w:r>
      <w:r w:rsidRPr="00942F36">
        <w:rPr>
          <w:rFonts w:asciiTheme="majorHAnsi" w:hAnsiTheme="majorHAnsi"/>
          <w:i/>
          <w:sz w:val="20"/>
        </w:rPr>
        <w:t>et al</w:t>
      </w:r>
      <w:r w:rsidR="00942F36" w:rsidRPr="00942F36">
        <w:rPr>
          <w:rFonts w:asciiTheme="majorHAnsi" w:hAnsiTheme="majorHAnsi"/>
          <w:sz w:val="20"/>
        </w:rPr>
        <w:t xml:space="preserve">. </w:t>
      </w:r>
      <w:r w:rsidRPr="00942F36">
        <w:rPr>
          <w:rFonts w:asciiTheme="majorHAnsi" w:hAnsiTheme="majorHAnsi"/>
          <w:sz w:val="20"/>
        </w:rPr>
        <w:t>Hereditary hemorrhagic telangiectasia: an overview of diagnosis, management, and pathogenesis.</w:t>
      </w:r>
      <w:r w:rsidR="00942F36" w:rsidRPr="00942F36">
        <w:rPr>
          <w:rFonts w:asciiTheme="majorHAnsi" w:hAnsiTheme="majorHAnsi"/>
          <w:sz w:val="20"/>
        </w:rPr>
        <w:t xml:space="preserve"> </w:t>
      </w:r>
      <w:r w:rsidRPr="00942F36">
        <w:rPr>
          <w:rFonts w:asciiTheme="majorHAnsi" w:hAnsiTheme="majorHAnsi"/>
          <w:sz w:val="20"/>
          <w:u w:val="single"/>
        </w:rPr>
        <w:t>Genet Med</w:t>
      </w:r>
      <w:r w:rsidRPr="00942F36">
        <w:rPr>
          <w:rFonts w:asciiTheme="majorHAnsi" w:hAnsiTheme="majorHAnsi"/>
          <w:sz w:val="20"/>
        </w:rPr>
        <w:t xml:space="preserve">. 2011 Jul;13(7):607-16. </w:t>
      </w:r>
    </w:p>
    <w:p w:rsidR="00A80D8A" w:rsidRPr="00942F36" w:rsidRDefault="00942F36" w:rsidP="00A80D8A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</w:rPr>
      </w:pPr>
      <w:r w:rsidRPr="00942F36">
        <w:rPr>
          <w:rFonts w:asciiTheme="majorHAnsi" w:hAnsiTheme="majorHAnsi"/>
          <w:sz w:val="20"/>
        </w:rPr>
        <w:t xml:space="preserve">McDonald J and Pyeritz RE. </w:t>
      </w:r>
      <w:r w:rsidR="00A80D8A" w:rsidRPr="00942F36">
        <w:rPr>
          <w:rFonts w:asciiTheme="majorHAnsi" w:hAnsiTheme="majorHAnsi"/>
          <w:sz w:val="20"/>
        </w:rPr>
        <w:t xml:space="preserve">Hereditary Hemorrhagic Telangiectasia. </w:t>
      </w:r>
      <w:r w:rsidR="00A80D8A" w:rsidRPr="00942F36">
        <w:rPr>
          <w:rFonts w:asciiTheme="majorHAnsi" w:hAnsiTheme="majorHAnsi"/>
          <w:sz w:val="20"/>
          <w:u w:val="single"/>
        </w:rPr>
        <w:t>GeneReviews</w:t>
      </w:r>
      <w:r w:rsidR="00A80D8A" w:rsidRPr="00942F36">
        <w:rPr>
          <w:rFonts w:asciiTheme="majorHAnsi" w:hAnsiTheme="majorHAnsi"/>
          <w:sz w:val="20"/>
        </w:rPr>
        <w:t xml:space="preserve">. Initial posting 2000, updated 2014. Pagon RA, Adam MP, Ardinger HH, </w:t>
      </w:r>
      <w:r w:rsidR="00A80D8A" w:rsidRPr="00942F36">
        <w:rPr>
          <w:rFonts w:asciiTheme="majorHAnsi" w:hAnsiTheme="majorHAnsi"/>
          <w:i/>
          <w:iCs/>
          <w:sz w:val="20"/>
        </w:rPr>
        <w:t>et al</w:t>
      </w:r>
      <w:r w:rsidR="00A80D8A" w:rsidRPr="00942F36">
        <w:rPr>
          <w:rFonts w:asciiTheme="majorHAnsi" w:hAnsiTheme="majorHAnsi"/>
          <w:sz w:val="20"/>
        </w:rPr>
        <w:t xml:space="preserve">., editors. Seattle (WA): University of Washington, Seattle; 1993-2014.   </w:t>
      </w:r>
    </w:p>
    <w:p w:rsidR="005C103E" w:rsidRPr="00942F36" w:rsidRDefault="00A80D8A" w:rsidP="00A80D8A">
      <w:pPr>
        <w:pStyle w:val="ListParagraph"/>
        <w:numPr>
          <w:ilvl w:val="0"/>
          <w:numId w:val="8"/>
        </w:numPr>
        <w:rPr>
          <w:rStyle w:val="Hyperlink"/>
          <w:rFonts w:asciiTheme="majorHAnsi" w:hAnsiTheme="majorHAnsi"/>
          <w:color w:val="auto"/>
          <w:sz w:val="20"/>
          <w:u w:val="none"/>
        </w:rPr>
      </w:pPr>
      <w:r w:rsidRPr="00942F36">
        <w:rPr>
          <w:rFonts w:asciiTheme="majorHAnsi" w:hAnsiTheme="majorHAnsi"/>
          <w:sz w:val="20"/>
        </w:rPr>
        <w:t>McDonald J</w:t>
      </w:r>
      <w:r w:rsidR="00942F36">
        <w:rPr>
          <w:rFonts w:asciiTheme="majorHAnsi" w:hAnsiTheme="majorHAnsi"/>
          <w:sz w:val="20"/>
        </w:rPr>
        <w:t>,</w:t>
      </w:r>
      <w:r w:rsidRPr="00942F36">
        <w:rPr>
          <w:rFonts w:asciiTheme="majorHAnsi" w:hAnsiTheme="majorHAnsi"/>
          <w:sz w:val="20"/>
        </w:rPr>
        <w:t xml:space="preserve"> </w:t>
      </w:r>
      <w:r w:rsidRPr="00942F36">
        <w:rPr>
          <w:rFonts w:asciiTheme="majorHAnsi" w:hAnsiTheme="majorHAnsi"/>
          <w:i/>
          <w:sz w:val="20"/>
        </w:rPr>
        <w:t>et al</w:t>
      </w:r>
      <w:r w:rsidR="00942F36" w:rsidRPr="00942F36">
        <w:rPr>
          <w:rFonts w:asciiTheme="majorHAnsi" w:hAnsiTheme="majorHAnsi"/>
          <w:sz w:val="20"/>
        </w:rPr>
        <w:t xml:space="preserve">. </w:t>
      </w:r>
      <w:r w:rsidRPr="00942F36">
        <w:rPr>
          <w:rFonts w:asciiTheme="majorHAnsi" w:hAnsiTheme="majorHAnsi"/>
          <w:sz w:val="20"/>
        </w:rPr>
        <w:t>Hereditary hemorrhagic telangiectasia: genetics and molecular diagnostics in a new era</w:t>
      </w:r>
      <w:r w:rsidR="00942F36" w:rsidRPr="00942F36">
        <w:rPr>
          <w:rFonts w:asciiTheme="majorHAnsi" w:hAnsiTheme="majorHAnsi"/>
          <w:sz w:val="20"/>
        </w:rPr>
        <w:t xml:space="preserve">. </w:t>
      </w:r>
      <w:r w:rsidRPr="00942F36">
        <w:rPr>
          <w:rFonts w:asciiTheme="majorHAnsi" w:hAnsiTheme="majorHAnsi"/>
          <w:sz w:val="20"/>
          <w:u w:val="single"/>
        </w:rPr>
        <w:t>Front Genet</w:t>
      </w:r>
      <w:r w:rsidRPr="00942F36">
        <w:rPr>
          <w:rFonts w:asciiTheme="majorHAnsi" w:hAnsiTheme="majorHAnsi"/>
          <w:sz w:val="20"/>
        </w:rPr>
        <w:t>. 2015 Jan 26;6:1.</w:t>
      </w:r>
      <w:r w:rsidR="00942F36" w:rsidRPr="00942F36">
        <w:rPr>
          <w:rFonts w:asciiTheme="majorHAnsi" w:hAnsiTheme="majorHAnsi"/>
          <w:sz w:val="20"/>
        </w:rPr>
        <w:t xml:space="preserve">  </w:t>
      </w:r>
    </w:p>
    <w:p w:rsidR="00942F36" w:rsidRPr="00942F36" w:rsidRDefault="00942F36" w:rsidP="00A80D8A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</w:rPr>
      </w:pPr>
      <w:r w:rsidRPr="00942F36">
        <w:rPr>
          <w:rFonts w:asciiTheme="majorHAnsi" w:hAnsiTheme="majorHAnsi"/>
          <w:sz w:val="20"/>
        </w:rPr>
        <w:t xml:space="preserve">Bernhardt BA, </w:t>
      </w:r>
      <w:r w:rsidRPr="00942F36">
        <w:rPr>
          <w:rFonts w:asciiTheme="majorHAnsi" w:hAnsiTheme="majorHAnsi"/>
          <w:i/>
          <w:sz w:val="20"/>
        </w:rPr>
        <w:t xml:space="preserve">et </w:t>
      </w:r>
      <w:r w:rsidRPr="00942F36">
        <w:rPr>
          <w:rFonts w:asciiTheme="majorHAnsi" w:hAnsiTheme="majorHAnsi"/>
          <w:sz w:val="20"/>
        </w:rPr>
        <w:t xml:space="preserve">al. Cost savings through molecular diagnosis for hereditary hemorrhagic telangiectasia. </w:t>
      </w:r>
      <w:r w:rsidRPr="00942F36">
        <w:rPr>
          <w:rFonts w:asciiTheme="majorHAnsi" w:hAnsiTheme="majorHAnsi"/>
          <w:sz w:val="20"/>
          <w:u w:val="single"/>
        </w:rPr>
        <w:t>Genet Med</w:t>
      </w:r>
      <w:r w:rsidRPr="00942F36">
        <w:rPr>
          <w:rFonts w:asciiTheme="majorHAnsi" w:hAnsiTheme="majorHAnsi"/>
          <w:sz w:val="20"/>
        </w:rPr>
        <w:t xml:space="preserve">. 2012 Jun;14(6):604-10. </w:t>
      </w:r>
    </w:p>
    <w:sectPr w:rsidR="00942F36" w:rsidRPr="00942F36" w:rsidSect="002065D5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706"/>
    <w:multiLevelType w:val="hybridMultilevel"/>
    <w:tmpl w:val="17626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56BE7"/>
    <w:multiLevelType w:val="hybridMultilevel"/>
    <w:tmpl w:val="0AE68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01F3C"/>
    <w:multiLevelType w:val="hybridMultilevel"/>
    <w:tmpl w:val="D2EE9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D0C02"/>
    <w:multiLevelType w:val="hybridMultilevel"/>
    <w:tmpl w:val="A09E3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306F5"/>
    <w:multiLevelType w:val="multilevel"/>
    <w:tmpl w:val="4C68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33FCE"/>
    <w:multiLevelType w:val="multilevel"/>
    <w:tmpl w:val="0D22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796148"/>
    <w:multiLevelType w:val="hybridMultilevel"/>
    <w:tmpl w:val="9B22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415E3"/>
    <w:multiLevelType w:val="hybridMultilevel"/>
    <w:tmpl w:val="BA4A4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99"/>
    <w:rsid w:val="000018AF"/>
    <w:rsid w:val="00007179"/>
    <w:rsid w:val="00012B97"/>
    <w:rsid w:val="00027342"/>
    <w:rsid w:val="00027941"/>
    <w:rsid w:val="00037620"/>
    <w:rsid w:val="00052F8D"/>
    <w:rsid w:val="000C4920"/>
    <w:rsid w:val="000D64D8"/>
    <w:rsid w:val="00105F0E"/>
    <w:rsid w:val="001609C7"/>
    <w:rsid w:val="00167E81"/>
    <w:rsid w:val="0018786D"/>
    <w:rsid w:val="001F04D1"/>
    <w:rsid w:val="002065D5"/>
    <w:rsid w:val="0021330B"/>
    <w:rsid w:val="00234131"/>
    <w:rsid w:val="00261B15"/>
    <w:rsid w:val="00282162"/>
    <w:rsid w:val="00296BD9"/>
    <w:rsid w:val="002B6721"/>
    <w:rsid w:val="00307173"/>
    <w:rsid w:val="0031038D"/>
    <w:rsid w:val="003137F9"/>
    <w:rsid w:val="003264D0"/>
    <w:rsid w:val="0035669B"/>
    <w:rsid w:val="003C5EBA"/>
    <w:rsid w:val="003F6A04"/>
    <w:rsid w:val="00407CB8"/>
    <w:rsid w:val="004537C6"/>
    <w:rsid w:val="00494A12"/>
    <w:rsid w:val="004D5294"/>
    <w:rsid w:val="004F61EC"/>
    <w:rsid w:val="005378CB"/>
    <w:rsid w:val="00556711"/>
    <w:rsid w:val="00573B7F"/>
    <w:rsid w:val="005C103E"/>
    <w:rsid w:val="005C28CE"/>
    <w:rsid w:val="005E3ED7"/>
    <w:rsid w:val="00610E2B"/>
    <w:rsid w:val="0062071C"/>
    <w:rsid w:val="006669FE"/>
    <w:rsid w:val="0068254D"/>
    <w:rsid w:val="00695664"/>
    <w:rsid w:val="006A1502"/>
    <w:rsid w:val="006C2264"/>
    <w:rsid w:val="006D0451"/>
    <w:rsid w:val="006D2B71"/>
    <w:rsid w:val="006E0F66"/>
    <w:rsid w:val="007641BE"/>
    <w:rsid w:val="007851AF"/>
    <w:rsid w:val="007A25E9"/>
    <w:rsid w:val="007D372C"/>
    <w:rsid w:val="00807BA9"/>
    <w:rsid w:val="008156C0"/>
    <w:rsid w:val="0082012C"/>
    <w:rsid w:val="00853DC9"/>
    <w:rsid w:val="008B6378"/>
    <w:rsid w:val="008E67AA"/>
    <w:rsid w:val="008F217B"/>
    <w:rsid w:val="00903C3D"/>
    <w:rsid w:val="00905EF0"/>
    <w:rsid w:val="00914075"/>
    <w:rsid w:val="009153F3"/>
    <w:rsid w:val="00935EA0"/>
    <w:rsid w:val="00942F36"/>
    <w:rsid w:val="009638AD"/>
    <w:rsid w:val="009D63D6"/>
    <w:rsid w:val="00A44494"/>
    <w:rsid w:val="00A46B0B"/>
    <w:rsid w:val="00A65428"/>
    <w:rsid w:val="00A80D8A"/>
    <w:rsid w:val="00A81C78"/>
    <w:rsid w:val="00A90B7E"/>
    <w:rsid w:val="00AB4A8F"/>
    <w:rsid w:val="00AE1453"/>
    <w:rsid w:val="00AE63D9"/>
    <w:rsid w:val="00B12F0D"/>
    <w:rsid w:val="00B30A15"/>
    <w:rsid w:val="00B36100"/>
    <w:rsid w:val="00B614CE"/>
    <w:rsid w:val="00B6306A"/>
    <w:rsid w:val="00B83A46"/>
    <w:rsid w:val="00B94387"/>
    <w:rsid w:val="00BD0965"/>
    <w:rsid w:val="00BF66D9"/>
    <w:rsid w:val="00C443B4"/>
    <w:rsid w:val="00C463D4"/>
    <w:rsid w:val="00C66269"/>
    <w:rsid w:val="00C73B43"/>
    <w:rsid w:val="00C7481A"/>
    <w:rsid w:val="00C87060"/>
    <w:rsid w:val="00C95BCB"/>
    <w:rsid w:val="00CA5352"/>
    <w:rsid w:val="00CB1BE6"/>
    <w:rsid w:val="00D0317F"/>
    <w:rsid w:val="00D03248"/>
    <w:rsid w:val="00D214F7"/>
    <w:rsid w:val="00D25A5D"/>
    <w:rsid w:val="00D430E5"/>
    <w:rsid w:val="00DD1449"/>
    <w:rsid w:val="00E33D83"/>
    <w:rsid w:val="00EA0BD9"/>
    <w:rsid w:val="00EA0DB8"/>
    <w:rsid w:val="00EA4A08"/>
    <w:rsid w:val="00EF7EFE"/>
    <w:rsid w:val="00F235EC"/>
    <w:rsid w:val="00F271F6"/>
    <w:rsid w:val="00F674B0"/>
    <w:rsid w:val="00FA1A81"/>
    <w:rsid w:val="00FB7810"/>
    <w:rsid w:val="00FC1DBF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B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17B"/>
    <w:pPr>
      <w:ind w:left="720"/>
      <w:contextualSpacing/>
    </w:pPr>
  </w:style>
  <w:style w:type="paragraph" w:styleId="NoSpacing">
    <w:name w:val="No Spacing"/>
    <w:uiPriority w:val="1"/>
    <w:qFormat/>
    <w:rsid w:val="006669FE"/>
    <w:pPr>
      <w:spacing w:after="0" w:line="240" w:lineRule="auto"/>
    </w:pPr>
  </w:style>
  <w:style w:type="paragraph" w:styleId="Revision">
    <w:name w:val="Revision"/>
    <w:hidden/>
    <w:uiPriority w:val="99"/>
    <w:semiHidden/>
    <w:rsid w:val="006669FE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BF66D9"/>
  </w:style>
  <w:style w:type="character" w:styleId="Emphasis">
    <w:name w:val="Emphasis"/>
    <w:basedOn w:val="DefaultParagraphFont"/>
    <w:uiPriority w:val="20"/>
    <w:qFormat/>
    <w:rsid w:val="00BF66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B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17B"/>
    <w:pPr>
      <w:ind w:left="720"/>
      <w:contextualSpacing/>
    </w:pPr>
  </w:style>
  <w:style w:type="paragraph" w:styleId="NoSpacing">
    <w:name w:val="No Spacing"/>
    <w:uiPriority w:val="1"/>
    <w:qFormat/>
    <w:rsid w:val="006669FE"/>
    <w:pPr>
      <w:spacing w:after="0" w:line="240" w:lineRule="auto"/>
    </w:pPr>
  </w:style>
  <w:style w:type="paragraph" w:styleId="Revision">
    <w:name w:val="Revision"/>
    <w:hidden/>
    <w:uiPriority w:val="99"/>
    <w:semiHidden/>
    <w:rsid w:val="006669FE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BF66D9"/>
  </w:style>
  <w:style w:type="character" w:styleId="Emphasis">
    <w:name w:val="Emphasis"/>
    <w:basedOn w:val="DefaultParagraphFont"/>
    <w:uiPriority w:val="20"/>
    <w:qFormat/>
    <w:rsid w:val="00BF66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2ED43-8073-4591-8C4A-A118BFF5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Deepti Babu</dc:creator>
  <cp:lastModifiedBy>Kasey O'Neill</cp:lastModifiedBy>
  <cp:revision>3</cp:revision>
  <dcterms:created xsi:type="dcterms:W3CDTF">2018-06-27T18:09:00Z</dcterms:created>
  <dcterms:modified xsi:type="dcterms:W3CDTF">2018-06-27T19:44:00Z</dcterms:modified>
</cp:coreProperties>
</file>