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99" w:rsidRPr="006E0F66" w:rsidRDefault="00FD1099" w:rsidP="004F3980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 xml:space="preserve">LETTER OF MEDICAL NECESSITY FOR </w:t>
      </w:r>
      <w:r w:rsidR="007C41EA">
        <w:rPr>
          <w:rFonts w:ascii="Cambria" w:eastAsia="Times New Roman" w:hAnsi="Cambria" w:cs="Times New Roman"/>
          <w:b/>
        </w:rPr>
        <w:t xml:space="preserve">PRIMARY CILIARY DYSKINESIA </w:t>
      </w:r>
      <w:r w:rsidR="001609C7">
        <w:rPr>
          <w:rFonts w:ascii="Cambria" w:eastAsia="Times New Roman" w:hAnsi="Cambria" w:cs="Times New Roman"/>
          <w:b/>
        </w:rPr>
        <w:t>GENETIC</w:t>
      </w:r>
      <w:r w:rsidR="00B614CE">
        <w:rPr>
          <w:rFonts w:ascii="Cambria" w:eastAsia="Times New Roman" w:hAnsi="Cambria" w:cs="Times New Roman"/>
          <w:b/>
        </w:rPr>
        <w:t xml:space="preserve"> </w:t>
      </w:r>
      <w:r w:rsidR="001609C7">
        <w:rPr>
          <w:rFonts w:ascii="Cambria" w:eastAsia="Times New Roman" w:hAnsi="Cambria" w:cs="Times New Roman"/>
          <w:b/>
        </w:rPr>
        <w:t>TESTING</w:t>
      </w:r>
      <w:r w:rsidR="00F271F6">
        <w:rPr>
          <w:rFonts w:ascii="Cambria" w:eastAsia="Times New Roman" w:hAnsi="Cambria" w:cs="Times New Roman"/>
          <w:b/>
        </w:rPr>
        <w:t xml:space="preserve"> </w:t>
      </w:r>
      <w:r w:rsidR="00A65428">
        <w:rPr>
          <w:rFonts w:ascii="Cambria" w:eastAsia="Times New Roman" w:hAnsi="Cambria" w:cs="Times New Roman"/>
          <w:b/>
        </w:rPr>
        <w:t>(</w:t>
      </w:r>
      <w:r w:rsidR="007C41EA">
        <w:rPr>
          <w:rFonts w:ascii="Cambria" w:eastAsia="Times New Roman" w:hAnsi="Cambria" w:cs="Times New Roman"/>
          <w:b/>
        </w:rPr>
        <w:t>PCD</w:t>
      </w:r>
      <w:r w:rsidR="00F9564E">
        <w:rPr>
          <w:rFonts w:ascii="Cambria" w:eastAsia="Times New Roman" w:hAnsi="Cambria" w:cs="Times New Roman"/>
          <w:b/>
        </w:rPr>
        <w:t>N</w:t>
      </w:r>
      <w:r w:rsidR="004F3980">
        <w:rPr>
          <w:rFonts w:ascii="Cambria" w:eastAsia="Times New Roman" w:hAnsi="Cambria" w:cs="Times New Roman"/>
          <w:b/>
        </w:rPr>
        <w:t>ext</w:t>
      </w:r>
      <w:bookmarkStart w:id="0" w:name="_GoBack"/>
      <w:bookmarkEnd w:id="0"/>
      <w:r w:rsidR="007C41EA">
        <w:rPr>
          <w:rFonts w:ascii="Cambria" w:eastAsia="Times New Roman" w:hAnsi="Cambria" w:cs="Times New Roman"/>
          <w:b/>
        </w:rPr>
        <w:t>)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 w:rsidR="00DB633B"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FD1099" w:rsidRPr="00FD1099" w:rsidRDefault="00FD1099" w:rsidP="00FD1099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  <w:r w:rsidRPr="006669FE">
        <w:rPr>
          <w:rFonts w:asciiTheme="majorHAnsi" w:hAnsiTheme="majorHAnsi"/>
        </w:rPr>
        <w:t xml:space="preserve">This letter is in regards to my patient and your subscriber, </w:t>
      </w:r>
      <w:r w:rsidRPr="006669FE">
        <w:rPr>
          <w:rFonts w:asciiTheme="majorHAnsi" w:hAnsiTheme="majorHAnsi" w:cs="Arial"/>
          <w:color w:val="00B0F0"/>
        </w:rPr>
        <w:t>First, Last Name</w:t>
      </w:r>
      <w:r w:rsidRPr="006669FE">
        <w:rPr>
          <w:rFonts w:asciiTheme="majorHAnsi" w:hAnsiTheme="majorHAnsi"/>
          <w:color w:val="00B0F0"/>
        </w:rPr>
        <w:t xml:space="preserve"> </w:t>
      </w:r>
      <w:r w:rsidRPr="006669FE">
        <w:rPr>
          <w:rFonts w:asciiTheme="majorHAnsi" w:hAnsiTheme="majorHAnsi"/>
        </w:rPr>
        <w:t xml:space="preserve">to request full coverage of medically-indicated </w:t>
      </w:r>
      <w:r w:rsidR="00D827F3">
        <w:rPr>
          <w:rFonts w:asciiTheme="majorHAnsi" w:hAnsiTheme="majorHAnsi"/>
        </w:rPr>
        <w:t xml:space="preserve">genetic testing for </w:t>
      </w:r>
      <w:r w:rsidR="007C41EA">
        <w:rPr>
          <w:rFonts w:asciiTheme="majorHAnsi" w:hAnsiTheme="majorHAnsi"/>
        </w:rPr>
        <w:t>primary ciliary dyskinesia</w:t>
      </w:r>
      <w:r w:rsidR="00B614CE" w:rsidRPr="006669FE">
        <w:rPr>
          <w:rFonts w:asciiTheme="majorHAnsi" w:hAnsiTheme="majorHAnsi"/>
        </w:rPr>
        <w:t xml:space="preserve"> </w:t>
      </w:r>
      <w:r w:rsidR="00D827F3">
        <w:rPr>
          <w:rFonts w:asciiTheme="majorHAnsi" w:hAnsiTheme="majorHAnsi"/>
        </w:rPr>
        <w:t>(PCD)</w:t>
      </w:r>
      <w:r w:rsidR="00F9564E">
        <w:rPr>
          <w:rFonts w:asciiTheme="majorHAnsi" w:hAnsiTheme="majorHAnsi"/>
        </w:rPr>
        <w:t xml:space="preserve"> </w:t>
      </w:r>
      <w:r w:rsidRPr="006669FE">
        <w:rPr>
          <w:rFonts w:asciiTheme="majorHAnsi" w:hAnsiTheme="majorHAnsi"/>
        </w:rPr>
        <w:t xml:space="preserve">to be performed </w:t>
      </w:r>
      <w:r w:rsidRPr="006669FE">
        <w:rPr>
          <w:rFonts w:asciiTheme="majorHAnsi" w:hAnsiTheme="majorHAnsi" w:cs="Arial"/>
        </w:rPr>
        <w:t xml:space="preserve">by Ambry Genetics Corporation. 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</w:p>
    <w:p w:rsidR="00B614CE" w:rsidRDefault="007C41EA" w:rsidP="006669FE">
      <w:pPr>
        <w:pStyle w:val="NoSpacing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PCD</w:t>
      </w:r>
      <w:r w:rsidR="00B614CE" w:rsidRPr="006669FE">
        <w:rPr>
          <w:rFonts w:asciiTheme="majorHAnsi" w:hAnsiTheme="majorHAnsi" w:cs="Arial"/>
        </w:rPr>
        <w:t xml:space="preserve"> is an inherited disease that affects the respiratory and </w:t>
      </w:r>
      <w:r>
        <w:rPr>
          <w:rFonts w:asciiTheme="majorHAnsi" w:hAnsiTheme="majorHAnsi" w:cs="Arial"/>
        </w:rPr>
        <w:t>other systems</w:t>
      </w:r>
      <w:r w:rsidR="00B614CE" w:rsidRPr="006669FE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 In some cases, structural abnormalities of organs may occur. </w:t>
      </w:r>
      <w:r w:rsidR="00B614CE" w:rsidRPr="006669FE">
        <w:rPr>
          <w:rFonts w:asciiTheme="majorHAnsi" w:hAnsiTheme="majorHAnsi" w:cs="Arial"/>
        </w:rPr>
        <w:t xml:space="preserve"> </w:t>
      </w:r>
      <w:r w:rsidR="006669FE">
        <w:rPr>
          <w:rFonts w:asciiTheme="majorHAnsi" w:hAnsiTheme="majorHAnsi" w:cs="Arial"/>
        </w:rPr>
        <w:t xml:space="preserve">It </w:t>
      </w:r>
      <w:r>
        <w:rPr>
          <w:rFonts w:asciiTheme="majorHAnsi" w:hAnsiTheme="majorHAnsi" w:cs="Arial"/>
        </w:rPr>
        <w:t>is believed to affect about 1 in 16,000 people</w:t>
      </w:r>
      <w:r w:rsidR="00B614CE" w:rsidRPr="006669FE">
        <w:rPr>
          <w:rFonts w:asciiTheme="majorHAnsi" w:hAnsiTheme="majorHAnsi" w:cs="Arial"/>
        </w:rPr>
        <w:t xml:space="preserve"> worldwide.</w:t>
      </w:r>
      <w:r w:rsidR="0096548C">
        <w:rPr>
          <w:rFonts w:asciiTheme="majorHAnsi" w:hAnsiTheme="majorHAnsi" w:cs="Arial"/>
          <w:vertAlign w:val="superscript"/>
        </w:rPr>
        <w:t>1</w:t>
      </w:r>
      <w:r w:rsidR="00B614CE" w:rsidRPr="006669FE">
        <w:rPr>
          <w:rFonts w:asciiTheme="majorHAnsi" w:hAnsiTheme="majorHAnsi" w:cs="Arial"/>
        </w:rPr>
        <w:t xml:space="preserve"> Symptoms can include chronic cough, recurrent lung infections </w:t>
      </w:r>
      <w:r w:rsidR="006669FE">
        <w:rPr>
          <w:rFonts w:asciiTheme="majorHAnsi" w:hAnsiTheme="majorHAnsi" w:cs="Arial"/>
        </w:rPr>
        <w:t xml:space="preserve">that </w:t>
      </w:r>
      <w:r w:rsidR="00B614CE" w:rsidRPr="006669FE">
        <w:rPr>
          <w:rFonts w:asciiTheme="majorHAnsi" w:hAnsiTheme="majorHAnsi" w:cs="Arial"/>
        </w:rPr>
        <w:t xml:space="preserve">can lead to diminished pulmonary function, </w:t>
      </w:r>
      <w:r>
        <w:rPr>
          <w:rFonts w:asciiTheme="majorHAnsi" w:hAnsiTheme="majorHAnsi" w:cs="Arial"/>
        </w:rPr>
        <w:t>and recurrent sinusitis.</w:t>
      </w:r>
      <w:r w:rsidR="0096548C">
        <w:rPr>
          <w:rFonts w:asciiTheme="majorHAnsi" w:hAnsiTheme="majorHAnsi" w:cs="Arial"/>
          <w:vertAlign w:val="superscript"/>
        </w:rPr>
        <w:t>2</w:t>
      </w:r>
      <w:r>
        <w:rPr>
          <w:rFonts w:asciiTheme="majorHAnsi" w:hAnsiTheme="majorHAnsi" w:cs="Arial"/>
        </w:rPr>
        <w:t xml:space="preserve">  In some cases, the abdominal organs are shifted to a mirror image of the typical orientation (</w:t>
      </w:r>
      <w:r>
        <w:rPr>
          <w:rFonts w:asciiTheme="majorHAnsi" w:hAnsiTheme="majorHAnsi" w:cs="Arial"/>
          <w:i/>
        </w:rPr>
        <w:t xml:space="preserve">situs </w:t>
      </w:r>
      <w:r w:rsidR="00D827F3">
        <w:rPr>
          <w:rFonts w:asciiTheme="majorHAnsi" w:hAnsiTheme="majorHAnsi" w:cs="Arial"/>
          <w:i/>
        </w:rPr>
        <w:t>inversus</w:t>
      </w:r>
      <w:r w:rsidRPr="007C41EA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, or structural and positional abnormalities in the abdominal organs (heterotaxy)</w:t>
      </w:r>
      <w:r w:rsidR="00F73FFD">
        <w:rPr>
          <w:rFonts w:asciiTheme="majorHAnsi" w:hAnsiTheme="majorHAnsi" w:cs="Arial"/>
        </w:rPr>
        <w:t xml:space="preserve"> can be present</w:t>
      </w:r>
      <w:r w:rsidR="00B614CE" w:rsidRPr="006669FE">
        <w:rPr>
          <w:rFonts w:asciiTheme="majorHAnsi" w:hAnsiTheme="majorHAnsi" w:cs="Arial"/>
        </w:rPr>
        <w:t>.</w:t>
      </w:r>
      <w:r w:rsidR="0096548C">
        <w:rPr>
          <w:rFonts w:asciiTheme="majorHAnsi" w:hAnsiTheme="majorHAnsi" w:cs="Arial"/>
          <w:vertAlign w:val="superscript"/>
        </w:rPr>
        <w:t>3</w:t>
      </w:r>
      <w:r w:rsidR="00B614CE" w:rsidRPr="006669FE">
        <w:rPr>
          <w:rFonts w:asciiTheme="majorHAnsi" w:hAnsiTheme="majorHAnsi" w:cs="Arial"/>
        </w:rPr>
        <w:t xml:space="preserve"> </w:t>
      </w:r>
    </w:p>
    <w:p w:rsidR="006669FE" w:rsidRPr="006669FE" w:rsidRDefault="006669FE" w:rsidP="006669FE">
      <w:pPr>
        <w:pStyle w:val="NoSpacing"/>
        <w:rPr>
          <w:rFonts w:asciiTheme="majorHAnsi" w:hAnsiTheme="majorHAnsi" w:cs="Arial"/>
        </w:rPr>
      </w:pPr>
    </w:p>
    <w:p w:rsidR="007C41EA" w:rsidRDefault="007C41EA" w:rsidP="006669FE">
      <w:pPr>
        <w:pStyle w:val="NoSpacing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PCD can be caused by mutations in several genes</w:t>
      </w:r>
      <w:r w:rsidR="00D827F3">
        <w:rPr>
          <w:rFonts w:asciiTheme="majorHAnsi" w:hAnsiTheme="majorHAnsi" w:cs="Arial"/>
        </w:rPr>
        <w:t>, and can be inherited in various inheritance patterns</w:t>
      </w:r>
      <w:r w:rsidR="00B614CE" w:rsidRPr="006669FE">
        <w:rPr>
          <w:rFonts w:asciiTheme="majorHAnsi" w:hAnsiTheme="majorHAnsi" w:cs="Arial"/>
        </w:rPr>
        <w:t>.</w:t>
      </w:r>
      <w:r w:rsidR="0096548C">
        <w:rPr>
          <w:rFonts w:asciiTheme="majorHAnsi" w:hAnsiTheme="majorHAnsi" w:cs="Arial"/>
          <w:vertAlign w:val="superscript"/>
        </w:rPr>
        <w:t>1-3</w:t>
      </w:r>
      <w:r>
        <w:rPr>
          <w:rFonts w:asciiTheme="majorHAnsi" w:hAnsiTheme="majorHAnsi" w:cs="Arial"/>
        </w:rPr>
        <w:t xml:space="preserve"> </w:t>
      </w:r>
      <w:r w:rsidR="00D827F3">
        <w:rPr>
          <w:rFonts w:asciiTheme="majorHAnsi" w:hAnsiTheme="majorHAnsi" w:cs="Arial"/>
        </w:rPr>
        <w:t xml:space="preserve">As well, there is phenotypic overlap with cystic fibrosis, a different inherited condition caused by mutations in the </w:t>
      </w:r>
      <w:r w:rsidR="00D827F3" w:rsidRPr="00120093">
        <w:rPr>
          <w:rFonts w:asciiTheme="majorHAnsi" w:hAnsiTheme="majorHAnsi" w:cs="Arial"/>
          <w:i/>
        </w:rPr>
        <w:t>CFTR</w:t>
      </w:r>
      <w:r w:rsidR="00D827F3">
        <w:rPr>
          <w:rFonts w:asciiTheme="majorHAnsi" w:hAnsiTheme="majorHAnsi" w:cs="Arial"/>
        </w:rPr>
        <w:t xml:space="preserve"> gene.</w:t>
      </w:r>
      <w:r>
        <w:rPr>
          <w:rFonts w:asciiTheme="majorHAnsi" w:hAnsiTheme="majorHAnsi" w:cs="Arial"/>
        </w:rPr>
        <w:t xml:space="preserve"> </w:t>
      </w:r>
    </w:p>
    <w:p w:rsidR="00F73FFD" w:rsidRDefault="00F73FFD" w:rsidP="006669FE">
      <w:pPr>
        <w:pStyle w:val="NoSpacing"/>
        <w:rPr>
          <w:rFonts w:asciiTheme="majorHAnsi" w:hAnsiTheme="majorHAnsi"/>
          <w:b/>
        </w:rPr>
      </w:pPr>
    </w:p>
    <w:p w:rsidR="00FD1099" w:rsidRDefault="006669FE" w:rsidP="006669FE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My</w:t>
      </w:r>
      <w:r w:rsidRPr="006669FE">
        <w:rPr>
          <w:rFonts w:asciiTheme="majorHAnsi" w:hAnsiTheme="majorHAnsi"/>
          <w:b/>
        </w:rPr>
        <w:t xml:space="preserve"> </w:t>
      </w:r>
      <w:r w:rsidR="00C73B43" w:rsidRPr="006669FE">
        <w:rPr>
          <w:rFonts w:asciiTheme="majorHAnsi" w:hAnsiTheme="majorHAnsi"/>
          <w:b/>
        </w:rPr>
        <w:t>patient’s personal and family history</w:t>
      </w:r>
      <w:r>
        <w:rPr>
          <w:rFonts w:asciiTheme="majorHAnsi" w:hAnsiTheme="majorHAnsi"/>
          <w:b/>
        </w:rPr>
        <w:t>, as</w:t>
      </w:r>
      <w:r w:rsidR="00C73B43" w:rsidRPr="006669F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relevant to </w:t>
      </w:r>
      <w:r w:rsidR="007C41EA">
        <w:rPr>
          <w:rFonts w:asciiTheme="majorHAnsi" w:hAnsiTheme="majorHAnsi"/>
          <w:b/>
        </w:rPr>
        <w:t>PCD</w:t>
      </w:r>
      <w:r>
        <w:rPr>
          <w:rFonts w:asciiTheme="majorHAnsi" w:hAnsiTheme="majorHAnsi"/>
          <w:b/>
        </w:rPr>
        <w:t>,</w:t>
      </w:r>
      <w:r w:rsidR="00C73B43" w:rsidRPr="006669FE">
        <w:rPr>
          <w:rFonts w:asciiTheme="majorHAnsi" w:hAnsiTheme="majorHAnsi"/>
          <w:b/>
        </w:rPr>
        <w:t xml:space="preserve"> is </w:t>
      </w:r>
      <w:r w:rsidR="00FD1099" w:rsidRPr="006669FE">
        <w:rPr>
          <w:rFonts w:asciiTheme="majorHAnsi" w:hAnsiTheme="majorHAnsi"/>
          <w:b/>
        </w:rPr>
        <w:t>outlined below as applicable:</w:t>
      </w:r>
    </w:p>
    <w:p w:rsidR="006669FE" w:rsidRPr="006669FE" w:rsidRDefault="006669FE" w:rsidP="006669FE">
      <w:pPr>
        <w:pStyle w:val="NoSpacing"/>
        <w:rPr>
          <w:rFonts w:asciiTheme="majorHAnsi" w:hAnsiTheme="majorHAnsi"/>
          <w:b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color w:val="00B0F0"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b/>
          <w:color w:val="00B0F0"/>
        </w:rPr>
      </w:pPr>
    </w:p>
    <w:p w:rsidR="006669FE" w:rsidRPr="008D10DA" w:rsidRDefault="006669FE" w:rsidP="006669F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b/>
          <w:color w:val="00B0F0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  <w:b/>
          <w:color w:val="00B0F0"/>
        </w:rPr>
      </w:pPr>
    </w:p>
    <w:p w:rsidR="00FD1099" w:rsidRPr="00FB7810" w:rsidRDefault="00B83A46" w:rsidP="00FB7810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</w:rPr>
      </w:pPr>
      <w:r w:rsidRPr="006669FE">
        <w:rPr>
          <w:rFonts w:asciiTheme="majorHAnsi" w:hAnsiTheme="majorHAnsi"/>
        </w:rPr>
        <w:t>T</w:t>
      </w:r>
      <w:r w:rsidR="00FD1099" w:rsidRPr="006669FE">
        <w:rPr>
          <w:rFonts w:asciiTheme="majorHAnsi" w:hAnsiTheme="majorHAnsi"/>
        </w:rPr>
        <w:t xml:space="preserve">his genetic test </w:t>
      </w:r>
      <w:r w:rsidR="00A65428">
        <w:rPr>
          <w:rFonts w:asciiTheme="majorHAnsi" w:hAnsiTheme="majorHAnsi"/>
        </w:rPr>
        <w:t>(</w:t>
      </w:r>
      <w:r w:rsidR="007C41EA">
        <w:rPr>
          <w:rFonts w:asciiTheme="majorHAnsi" w:hAnsiTheme="majorHAnsi"/>
        </w:rPr>
        <w:t>PCD</w:t>
      </w:r>
      <w:r w:rsidR="00F9564E">
        <w:rPr>
          <w:rFonts w:asciiTheme="majorHAnsi" w:hAnsiTheme="majorHAnsi"/>
        </w:rPr>
        <w:t>Next</w:t>
      </w:r>
      <w:r w:rsidR="00A65428">
        <w:rPr>
          <w:rFonts w:asciiTheme="majorHAnsi" w:hAnsiTheme="majorHAnsi"/>
        </w:rPr>
        <w:t xml:space="preserve">) </w:t>
      </w:r>
      <w:r w:rsidR="00D827F3">
        <w:rPr>
          <w:rFonts w:asciiTheme="majorHAnsi" w:hAnsiTheme="majorHAnsi"/>
        </w:rPr>
        <w:t xml:space="preserve">uses gene sequencing and duplication/deletion </w:t>
      </w:r>
      <w:r w:rsidR="00FD1099" w:rsidRPr="006669FE">
        <w:rPr>
          <w:rFonts w:asciiTheme="majorHAnsi" w:hAnsiTheme="majorHAnsi"/>
        </w:rPr>
        <w:t>analy</w:t>
      </w:r>
      <w:r w:rsidR="00D827F3">
        <w:rPr>
          <w:rFonts w:asciiTheme="majorHAnsi" w:hAnsiTheme="majorHAnsi"/>
        </w:rPr>
        <w:t>s</w:t>
      </w:r>
      <w:r w:rsidR="00FD1099" w:rsidRPr="006669FE">
        <w:rPr>
          <w:rFonts w:asciiTheme="majorHAnsi" w:hAnsiTheme="majorHAnsi"/>
        </w:rPr>
        <w:t xml:space="preserve">es </w:t>
      </w:r>
      <w:r w:rsidR="00D827F3">
        <w:rPr>
          <w:rFonts w:asciiTheme="majorHAnsi" w:hAnsiTheme="majorHAnsi"/>
        </w:rPr>
        <w:t xml:space="preserve">for </w:t>
      </w:r>
      <w:r w:rsidR="00C73B43" w:rsidRPr="006669FE">
        <w:rPr>
          <w:rFonts w:asciiTheme="majorHAnsi" w:hAnsiTheme="majorHAnsi"/>
        </w:rPr>
        <w:t>the</w:t>
      </w:r>
      <w:r w:rsidR="00F9564E">
        <w:rPr>
          <w:rFonts w:asciiTheme="majorHAnsi" w:hAnsiTheme="majorHAnsi"/>
        </w:rPr>
        <w:t xml:space="preserve"> 21</w:t>
      </w:r>
      <w:r w:rsidR="007C41EA">
        <w:rPr>
          <w:rFonts w:asciiTheme="majorHAnsi" w:hAnsiTheme="majorHAnsi"/>
        </w:rPr>
        <w:t xml:space="preserve"> most common genes associate</w:t>
      </w:r>
      <w:r w:rsidR="00C3200A">
        <w:rPr>
          <w:rFonts w:asciiTheme="majorHAnsi" w:hAnsiTheme="majorHAnsi"/>
        </w:rPr>
        <w:t>d with PCD</w:t>
      </w:r>
      <w:r w:rsidR="00D827F3">
        <w:rPr>
          <w:rFonts w:asciiTheme="majorHAnsi" w:hAnsiTheme="majorHAnsi"/>
        </w:rPr>
        <w:t xml:space="preserve">: </w:t>
      </w:r>
      <w:r w:rsidR="00F9564E" w:rsidRPr="00F9564E">
        <w:rPr>
          <w:rFonts w:asciiTheme="majorHAnsi" w:hAnsiTheme="majorHAnsi"/>
          <w:i/>
        </w:rPr>
        <w:t xml:space="preserve">ARMC4, CCDC103, CCDC114, CCDC39, CCDC40, CFTR, </w:t>
      </w:r>
      <w:r w:rsidR="00D827F3" w:rsidRPr="00C3200A">
        <w:rPr>
          <w:rFonts w:asciiTheme="majorHAnsi" w:hAnsiTheme="majorHAnsi"/>
          <w:i/>
        </w:rPr>
        <w:t xml:space="preserve">DNAAF1, DNAAF2, </w:t>
      </w:r>
      <w:r w:rsidR="00F9564E">
        <w:rPr>
          <w:rFonts w:asciiTheme="majorHAnsi" w:hAnsiTheme="majorHAnsi"/>
          <w:i/>
        </w:rPr>
        <w:t xml:space="preserve">DNAAF3, DNAAF5, </w:t>
      </w:r>
      <w:r w:rsidR="00D827F3" w:rsidRPr="00C3200A">
        <w:rPr>
          <w:rFonts w:asciiTheme="majorHAnsi" w:hAnsiTheme="majorHAnsi"/>
          <w:i/>
        </w:rPr>
        <w:t xml:space="preserve">DNAH5, DNAH11, DNAI1, DNAI2, </w:t>
      </w:r>
      <w:r w:rsidR="00F9564E">
        <w:rPr>
          <w:rFonts w:asciiTheme="majorHAnsi" w:hAnsiTheme="majorHAnsi"/>
          <w:i/>
        </w:rPr>
        <w:t>LRRC6, NME8, OFD1, RPGR, RSPH4A, RSPH9, SPAG1</w:t>
      </w:r>
      <w:r w:rsidR="007C41EA">
        <w:rPr>
          <w:rFonts w:asciiTheme="majorHAnsi" w:hAnsiTheme="majorHAnsi"/>
        </w:rPr>
        <w:t xml:space="preserve">.  </w:t>
      </w:r>
      <w:r w:rsidR="00C3200A">
        <w:rPr>
          <w:rFonts w:asciiTheme="majorHAnsi" w:hAnsiTheme="majorHAnsi"/>
        </w:rPr>
        <w:t xml:space="preserve">This </w:t>
      </w:r>
      <w:r w:rsidR="00D827F3">
        <w:rPr>
          <w:rFonts w:asciiTheme="majorHAnsi" w:hAnsiTheme="majorHAnsi"/>
        </w:rPr>
        <w:t>multi-gene test</w:t>
      </w:r>
      <w:r w:rsidR="0096548C">
        <w:rPr>
          <w:rFonts w:asciiTheme="majorHAnsi" w:hAnsiTheme="majorHAnsi"/>
        </w:rPr>
        <w:t xml:space="preserve"> </w:t>
      </w:r>
      <w:r w:rsidR="00FD1099" w:rsidRPr="006669FE">
        <w:rPr>
          <w:rFonts w:asciiTheme="majorHAnsi" w:hAnsiTheme="majorHAnsi"/>
        </w:rPr>
        <w:t xml:space="preserve">is the most </w:t>
      </w:r>
      <w:r w:rsidR="00D827F3">
        <w:rPr>
          <w:rFonts w:asciiTheme="majorHAnsi" w:hAnsiTheme="majorHAnsi"/>
        </w:rPr>
        <w:t xml:space="preserve">efficient, </w:t>
      </w:r>
      <w:r w:rsidR="00FD1099" w:rsidRPr="006669FE">
        <w:rPr>
          <w:rFonts w:asciiTheme="majorHAnsi" w:hAnsiTheme="majorHAnsi"/>
        </w:rPr>
        <w:t xml:space="preserve">cost-effective way to analyze </w:t>
      </w:r>
      <w:r w:rsidR="000D64D8" w:rsidRPr="006669FE">
        <w:rPr>
          <w:rFonts w:asciiTheme="majorHAnsi" w:hAnsiTheme="majorHAnsi"/>
        </w:rPr>
        <w:t>gene</w:t>
      </w:r>
      <w:r w:rsidR="00C3200A">
        <w:rPr>
          <w:rFonts w:asciiTheme="majorHAnsi" w:hAnsiTheme="majorHAnsi"/>
        </w:rPr>
        <w:t>s</w:t>
      </w:r>
      <w:r w:rsidR="00D827F3">
        <w:rPr>
          <w:rFonts w:asciiTheme="majorHAnsi" w:hAnsiTheme="majorHAnsi"/>
        </w:rPr>
        <w:t xml:space="preserve"> implicated in PCD, and has significant potential to identify a causative diagnosis in my patient</w:t>
      </w:r>
      <w:r w:rsidR="000D64D8" w:rsidRPr="006669FE">
        <w:rPr>
          <w:rFonts w:asciiTheme="majorHAnsi" w:hAnsiTheme="majorHAnsi"/>
        </w:rPr>
        <w:t>.</w:t>
      </w:r>
      <w:r w:rsidR="00FD1099" w:rsidRPr="006669FE">
        <w:rPr>
          <w:rFonts w:asciiTheme="majorHAnsi" w:hAnsiTheme="majorHAnsi"/>
        </w:rPr>
        <w:t xml:space="preserve"> </w:t>
      </w:r>
      <w:r w:rsidR="00FD1099" w:rsidRPr="006669FE">
        <w:rPr>
          <w:rFonts w:asciiTheme="majorHAnsi" w:hAnsiTheme="majorHAnsi"/>
          <w:b/>
        </w:rPr>
        <w:t xml:space="preserve">As my patient </w:t>
      </w:r>
      <w:r w:rsidR="00D827F3">
        <w:rPr>
          <w:rFonts w:asciiTheme="majorHAnsi" w:hAnsiTheme="majorHAnsi"/>
          <w:b/>
        </w:rPr>
        <w:t xml:space="preserve">is suspected to have </w:t>
      </w:r>
      <w:r w:rsidR="00C3200A">
        <w:rPr>
          <w:rFonts w:asciiTheme="majorHAnsi" w:hAnsiTheme="majorHAnsi"/>
          <w:b/>
        </w:rPr>
        <w:t>PCD</w:t>
      </w:r>
      <w:r w:rsidR="00FD1099" w:rsidRPr="006669FE">
        <w:rPr>
          <w:rFonts w:asciiTheme="majorHAnsi" w:hAnsiTheme="majorHAnsi"/>
          <w:b/>
        </w:rPr>
        <w:t>, there is a reaso</w:t>
      </w:r>
      <w:r w:rsidR="000D64D8" w:rsidRPr="006669FE">
        <w:rPr>
          <w:rFonts w:asciiTheme="majorHAnsi" w:hAnsiTheme="majorHAnsi"/>
          <w:b/>
        </w:rPr>
        <w:t xml:space="preserve">nable probability of detecting </w:t>
      </w:r>
      <w:r w:rsidR="00D827F3">
        <w:rPr>
          <w:rFonts w:asciiTheme="majorHAnsi" w:hAnsiTheme="majorHAnsi"/>
          <w:b/>
        </w:rPr>
        <w:t xml:space="preserve">a </w:t>
      </w:r>
      <w:r w:rsidR="004D5294">
        <w:rPr>
          <w:rFonts w:asciiTheme="majorHAnsi" w:hAnsiTheme="majorHAnsi"/>
          <w:b/>
        </w:rPr>
        <w:t>causative</w:t>
      </w:r>
      <w:r w:rsidR="00FD1099" w:rsidRPr="006669FE">
        <w:rPr>
          <w:rFonts w:asciiTheme="majorHAnsi" w:hAnsiTheme="majorHAnsi"/>
          <w:b/>
        </w:rPr>
        <w:t xml:space="preserve"> mutation</w:t>
      </w:r>
      <w:r w:rsidR="00D827F3">
        <w:rPr>
          <w:rFonts w:asciiTheme="majorHAnsi" w:hAnsiTheme="majorHAnsi"/>
          <w:b/>
        </w:rPr>
        <w:t xml:space="preserve"> (or mutation</w:t>
      </w:r>
      <w:r w:rsidR="000D64D8" w:rsidRPr="006669FE">
        <w:rPr>
          <w:rFonts w:asciiTheme="majorHAnsi" w:hAnsiTheme="majorHAnsi"/>
          <w:b/>
        </w:rPr>
        <w:t>s</w:t>
      </w:r>
      <w:r w:rsidR="00D827F3">
        <w:rPr>
          <w:rFonts w:asciiTheme="majorHAnsi" w:hAnsiTheme="majorHAnsi"/>
          <w:b/>
        </w:rPr>
        <w:t>)</w:t>
      </w:r>
      <w:r w:rsidR="00C3200A">
        <w:rPr>
          <w:rFonts w:asciiTheme="majorHAnsi" w:hAnsiTheme="majorHAnsi"/>
          <w:b/>
        </w:rPr>
        <w:t xml:space="preserve"> </w:t>
      </w:r>
      <w:r w:rsidR="006A1502" w:rsidRPr="006669FE">
        <w:rPr>
          <w:rFonts w:asciiTheme="majorHAnsi" w:hAnsiTheme="majorHAnsi"/>
          <w:b/>
        </w:rPr>
        <w:t xml:space="preserve">in my patient.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4D5294" w:rsidRPr="004D5294" w:rsidRDefault="00D827F3" w:rsidP="004D5294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Genetic testing will help clarify my patient’s diagnosis and/or risk to develop PCD. This </w:t>
      </w:r>
      <w:r w:rsidR="008F217B" w:rsidRPr="006669FE">
        <w:rPr>
          <w:rFonts w:asciiTheme="majorHAnsi" w:hAnsiTheme="majorHAnsi"/>
          <w:b/>
        </w:rPr>
        <w:t xml:space="preserve">genetic testing will directly impact my </w:t>
      </w:r>
      <w:r>
        <w:rPr>
          <w:rFonts w:asciiTheme="majorHAnsi" w:hAnsiTheme="majorHAnsi"/>
          <w:b/>
        </w:rPr>
        <w:t xml:space="preserve">medical </w:t>
      </w:r>
      <w:r w:rsidR="008F217B" w:rsidRPr="006669FE">
        <w:rPr>
          <w:rFonts w:asciiTheme="majorHAnsi" w:hAnsiTheme="majorHAnsi"/>
          <w:b/>
        </w:rPr>
        <w:t>management</w:t>
      </w:r>
      <w:r>
        <w:rPr>
          <w:rFonts w:asciiTheme="majorHAnsi" w:hAnsiTheme="majorHAnsi"/>
          <w:b/>
        </w:rPr>
        <w:t>, screening, and prevention of potential complications of this disease</w:t>
      </w:r>
      <w:r w:rsidR="00D0317F">
        <w:rPr>
          <w:rFonts w:asciiTheme="majorHAnsi" w:hAnsiTheme="majorHAnsi"/>
        </w:rPr>
        <w:t xml:space="preserve">. </w:t>
      </w:r>
      <w:r w:rsidR="004D5294" w:rsidRPr="004D5294">
        <w:rPr>
          <w:rFonts w:asciiTheme="majorHAnsi" w:hAnsiTheme="majorHAnsi"/>
        </w:rPr>
        <w:t xml:space="preserve">A positive genetic test result can provide the following benefits to </w:t>
      </w:r>
      <w:r w:rsidR="00A65428">
        <w:rPr>
          <w:rFonts w:asciiTheme="majorHAnsi" w:hAnsiTheme="majorHAnsi"/>
        </w:rPr>
        <w:t xml:space="preserve">my </w:t>
      </w:r>
      <w:r w:rsidR="004D5294" w:rsidRPr="004D5294">
        <w:rPr>
          <w:rFonts w:asciiTheme="majorHAnsi" w:hAnsiTheme="majorHAnsi"/>
        </w:rPr>
        <w:t>patient:</w:t>
      </w:r>
      <w:r w:rsidR="0096548C">
        <w:rPr>
          <w:rFonts w:asciiTheme="majorHAnsi" w:hAnsiTheme="majorHAnsi"/>
          <w:vertAlign w:val="superscript"/>
        </w:rPr>
        <w:t>2-3</w:t>
      </w:r>
      <w:r w:rsidR="004D5294" w:rsidRPr="004D5294">
        <w:rPr>
          <w:rFonts w:asciiTheme="majorHAnsi" w:hAnsiTheme="majorHAnsi"/>
        </w:rPr>
        <w:t xml:space="preserve"> </w:t>
      </w:r>
    </w:p>
    <w:p w:rsidR="00B12F0D" w:rsidRPr="004D5294" w:rsidRDefault="00B12F0D" w:rsidP="00B12F0D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Aid in diagnosis for patients with an atypical presentation of disease</w:t>
      </w:r>
    </w:p>
    <w:p w:rsidR="000018AF" w:rsidRPr="004D5294" w:rsidRDefault="004D5294" w:rsidP="00746ED2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4D5294">
        <w:rPr>
          <w:rFonts w:asciiTheme="majorHAnsi" w:hAnsiTheme="majorHAnsi"/>
        </w:rPr>
        <w:t>Tailor medical treatment based on specific mutations</w:t>
      </w:r>
      <w:r w:rsidR="00746ED2">
        <w:rPr>
          <w:rFonts w:asciiTheme="majorHAnsi" w:hAnsiTheme="majorHAnsi"/>
        </w:rPr>
        <w:t xml:space="preserve"> when a </w:t>
      </w:r>
      <w:r w:rsidR="00746ED2">
        <w:rPr>
          <w:rFonts w:asciiTheme="majorHAnsi" w:hAnsiTheme="majorHAnsi"/>
          <w:i/>
        </w:rPr>
        <w:t xml:space="preserve">CFTR </w:t>
      </w:r>
      <w:r w:rsidR="00746ED2">
        <w:rPr>
          <w:rFonts w:asciiTheme="majorHAnsi" w:hAnsiTheme="majorHAnsi"/>
        </w:rPr>
        <w:t>mutation is found</w:t>
      </w:r>
    </w:p>
    <w:p w:rsidR="004D5294" w:rsidRPr="0031038D" w:rsidRDefault="0031038D" w:rsidP="0031038D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31038D">
        <w:rPr>
          <w:rFonts w:asciiTheme="majorHAnsi" w:hAnsiTheme="majorHAnsi"/>
        </w:rPr>
        <w:t xml:space="preserve">Allow immediate </w:t>
      </w:r>
      <w:r w:rsidR="004D5294" w:rsidRPr="0031038D">
        <w:rPr>
          <w:rFonts w:asciiTheme="majorHAnsi" w:hAnsiTheme="majorHAnsi"/>
        </w:rPr>
        <w:t xml:space="preserve">management and treatment </w:t>
      </w:r>
      <w:r w:rsidRPr="0068254D">
        <w:rPr>
          <w:rFonts w:asciiTheme="majorHAnsi" w:hAnsiTheme="majorHAnsi"/>
        </w:rPr>
        <w:t xml:space="preserve">to </w:t>
      </w:r>
      <w:r w:rsidR="004D5294" w:rsidRPr="0068254D">
        <w:rPr>
          <w:rFonts w:asciiTheme="majorHAnsi" w:hAnsiTheme="majorHAnsi"/>
        </w:rPr>
        <w:t xml:space="preserve">help anticipate and control common clinical findings associated with </w:t>
      </w:r>
      <w:r w:rsidR="00F73FFD">
        <w:rPr>
          <w:rFonts w:asciiTheme="majorHAnsi" w:hAnsiTheme="majorHAnsi"/>
        </w:rPr>
        <w:t>PCD</w:t>
      </w:r>
      <w:r w:rsidR="004D5294" w:rsidRPr="0068254D">
        <w:rPr>
          <w:rFonts w:asciiTheme="majorHAnsi" w:hAnsiTheme="majorHAnsi"/>
        </w:rPr>
        <w:t xml:space="preserve"> </w:t>
      </w:r>
    </w:p>
    <w:p w:rsidR="00B6306A" w:rsidRPr="00D827F3" w:rsidRDefault="00B12F0D" w:rsidP="00D827F3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Assist in/tailor </w:t>
      </w:r>
      <w:r w:rsidR="00CA5352">
        <w:rPr>
          <w:rFonts w:asciiTheme="majorHAnsi" w:hAnsiTheme="majorHAnsi"/>
        </w:rPr>
        <w:t>patient long-term management and monitor suspected disease progression</w:t>
      </w:r>
      <w:r>
        <w:rPr>
          <w:rFonts w:asciiTheme="majorHAnsi" w:hAnsiTheme="majorHAnsi"/>
        </w:rPr>
        <w:t>, based on mutations identified</w:t>
      </w:r>
      <w:r w:rsidR="00B6306A" w:rsidRPr="00D827F3">
        <w:rPr>
          <w:rFonts w:asciiTheme="majorHAnsi" w:hAnsiTheme="majorHAnsi"/>
        </w:rPr>
        <w:t xml:space="preserve">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  <w:b/>
        </w:rPr>
      </w:pPr>
      <w:r w:rsidRPr="006669FE">
        <w:rPr>
          <w:rFonts w:asciiTheme="majorHAnsi" w:hAnsiTheme="majorHAnsi"/>
        </w:rPr>
        <w:t xml:space="preserve">Due to the medical risks associated with these mutations and available interventions, this genetic testing is medically warranted.  </w:t>
      </w:r>
      <w:r w:rsidRPr="006669FE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A positive test result would confirm </w:t>
      </w:r>
      <w:r w:rsidR="006C2264">
        <w:rPr>
          <w:rFonts w:asciiTheme="majorHAnsi" w:hAnsiTheme="majorHAnsi"/>
        </w:rPr>
        <w:t xml:space="preserve">a </w:t>
      </w:r>
      <w:r w:rsidR="00D827F3">
        <w:rPr>
          <w:rFonts w:asciiTheme="majorHAnsi" w:hAnsiTheme="majorHAnsi"/>
        </w:rPr>
        <w:t xml:space="preserve">genetic </w:t>
      </w:r>
      <w:r w:rsidRPr="006669FE">
        <w:rPr>
          <w:rFonts w:asciiTheme="majorHAnsi" w:hAnsiTheme="majorHAnsi"/>
        </w:rPr>
        <w:t xml:space="preserve">diagnosis in my patient, and would ensure </w:t>
      </w:r>
      <w:r w:rsidR="00D827F3">
        <w:rPr>
          <w:rFonts w:asciiTheme="majorHAnsi" w:hAnsiTheme="majorHAnsi"/>
        </w:rPr>
        <w:t xml:space="preserve">my patient </w:t>
      </w:r>
      <w:r w:rsidRPr="006669FE">
        <w:rPr>
          <w:rFonts w:asciiTheme="majorHAnsi" w:hAnsiTheme="majorHAnsi"/>
        </w:rPr>
        <w:t xml:space="preserve">is being managed appropriately. I am specifying Ambry Genetics Corporation because this laboratory </w:t>
      </w:r>
      <w:r w:rsidR="00D827F3">
        <w:rPr>
          <w:rFonts w:asciiTheme="majorHAnsi" w:hAnsiTheme="majorHAnsi"/>
        </w:rPr>
        <w:t xml:space="preserve">has highly sensitive and cost-effective testing for PCD, along with a large database of tested patients to ensure </w:t>
      </w:r>
      <w:r w:rsidR="00B83A46" w:rsidRPr="006669FE">
        <w:rPr>
          <w:rFonts w:asciiTheme="majorHAnsi" w:hAnsiTheme="majorHAnsi"/>
        </w:rPr>
        <w:t xml:space="preserve">highly </w:t>
      </w:r>
      <w:r w:rsidRPr="006669FE">
        <w:rPr>
          <w:rFonts w:asciiTheme="majorHAnsi" w:hAnsiTheme="majorHAnsi"/>
        </w:rPr>
        <w:t xml:space="preserve">validated, accurate, and informative test interpretation. 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I recommend that you support this request for coverage of </w:t>
      </w:r>
      <w:r w:rsidR="006C2264">
        <w:rPr>
          <w:rFonts w:asciiTheme="majorHAnsi" w:hAnsiTheme="majorHAnsi"/>
        </w:rPr>
        <w:t>diagnostic</w:t>
      </w:r>
      <w:r w:rsidR="0035669B" w:rsidRPr="006669FE">
        <w:rPr>
          <w:rFonts w:asciiTheme="majorHAnsi" w:hAnsiTheme="majorHAnsi"/>
        </w:rPr>
        <w:t xml:space="preserve"> </w:t>
      </w:r>
      <w:r w:rsidR="00D0317F">
        <w:rPr>
          <w:rFonts w:asciiTheme="majorHAnsi" w:hAnsiTheme="majorHAnsi"/>
        </w:rPr>
        <w:t xml:space="preserve">genetic </w:t>
      </w:r>
      <w:r w:rsidR="006C2264">
        <w:rPr>
          <w:rFonts w:asciiTheme="majorHAnsi" w:hAnsiTheme="majorHAnsi"/>
        </w:rPr>
        <w:t>testing</w:t>
      </w:r>
      <w:r w:rsidRPr="006669FE">
        <w:rPr>
          <w:rFonts w:asciiTheme="majorHAnsi" w:hAnsiTheme="majorHAnsi"/>
        </w:rPr>
        <w:t xml:space="preserve"> </w:t>
      </w:r>
      <w:r w:rsidR="00D827F3">
        <w:rPr>
          <w:rFonts w:asciiTheme="majorHAnsi" w:hAnsiTheme="majorHAnsi"/>
        </w:rPr>
        <w:t xml:space="preserve">for PCD </w:t>
      </w:r>
      <w:r w:rsidRPr="006669FE">
        <w:rPr>
          <w:rFonts w:asciiTheme="majorHAnsi" w:hAnsiTheme="majorHAnsi"/>
        </w:rPr>
        <w:t xml:space="preserve">in my patient. </w:t>
      </w:r>
      <w:r w:rsidR="00F73FFD">
        <w:rPr>
          <w:rFonts w:asciiTheme="majorHAnsi" w:hAnsiTheme="majorHAnsi"/>
        </w:rPr>
        <w:t xml:space="preserve"> </w:t>
      </w:r>
      <w:r w:rsidR="00D827F3">
        <w:rPr>
          <w:rFonts w:asciiTheme="majorHAnsi" w:hAnsiTheme="majorHAnsi"/>
        </w:rPr>
        <w:t>Depending on the exact test ordered, g</w:t>
      </w:r>
      <w:r w:rsidRPr="006669FE">
        <w:rPr>
          <w:rFonts w:asciiTheme="majorHAnsi" w:hAnsiTheme="majorHAnsi"/>
        </w:rPr>
        <w:t xml:space="preserve">enetic testing can take up to several </w:t>
      </w:r>
      <w:r w:rsidR="00D0317F">
        <w:rPr>
          <w:rFonts w:asciiTheme="majorHAnsi" w:hAnsiTheme="majorHAnsi"/>
        </w:rPr>
        <w:t>weeks</w:t>
      </w:r>
      <w:r w:rsidR="00D0317F" w:rsidRPr="006669FE">
        <w:rPr>
          <w:rFonts w:asciiTheme="majorHAnsi" w:hAnsiTheme="majorHAnsi"/>
        </w:rPr>
        <w:t xml:space="preserve"> </w:t>
      </w:r>
      <w:r w:rsidRPr="006669FE">
        <w:rPr>
          <w:rFonts w:asciiTheme="majorHAnsi" w:hAnsiTheme="majorHAnsi"/>
        </w:rPr>
        <w:t>to complete</w:t>
      </w:r>
      <w:r w:rsidR="00D827F3">
        <w:rPr>
          <w:rFonts w:asciiTheme="majorHAnsi" w:hAnsiTheme="majorHAnsi"/>
        </w:rPr>
        <w:t>,</w:t>
      </w:r>
      <w:r w:rsidRPr="006669FE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="00F73FFD">
        <w:rPr>
          <w:rFonts w:asciiTheme="majorHAnsi" w:hAnsiTheme="majorHAnsi"/>
          <w:b/>
        </w:rPr>
        <w:t>6</w:t>
      </w:r>
      <w:r w:rsidRPr="006669FE">
        <w:rPr>
          <w:rFonts w:asciiTheme="majorHAnsi" w:hAnsiTheme="majorHAnsi"/>
          <w:b/>
        </w:rPr>
        <w:t xml:space="preserve"> months</w:t>
      </w:r>
      <w:r w:rsidRPr="006669FE">
        <w:rPr>
          <w:rFonts w:asciiTheme="majorHAnsi" w:hAnsiTheme="majorHAnsi"/>
        </w:rPr>
        <w:t xml:space="preserve">.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>Thank you for your time</w:t>
      </w:r>
      <w:r w:rsidR="00D827F3">
        <w:rPr>
          <w:rFonts w:asciiTheme="majorHAnsi" w:hAnsiTheme="majorHAnsi"/>
        </w:rPr>
        <w:t>,</w:t>
      </w:r>
      <w:r w:rsidRPr="006669FE">
        <w:rPr>
          <w:rFonts w:asciiTheme="majorHAnsi" w:hAnsiTheme="majorHAnsi"/>
        </w:rPr>
        <w:t xml:space="preserve"> and please don’t hesitate to contact me with any questions.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>Sincerely,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  <w:color w:val="00B0F0"/>
        </w:rPr>
        <w:t>Ordering Clinician Name</w:t>
      </w:r>
      <w:r w:rsidRPr="006669FE">
        <w:rPr>
          <w:rFonts w:asciiTheme="majorHAnsi" w:hAnsiTheme="majorHAnsi"/>
        </w:rPr>
        <w:t xml:space="preserve"> (Signature Provided on Test Requisition Form) 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  <w:r w:rsidRPr="006669FE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FD1099" w:rsidRPr="006669FE" w:rsidRDefault="00FD1099" w:rsidP="006669FE">
      <w:pPr>
        <w:pStyle w:val="NoSpacing"/>
        <w:rPr>
          <w:rFonts w:asciiTheme="majorHAnsi" w:hAnsiTheme="majorHAnsi" w:cs="Arial"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*Authorized clinician requirements vary by state </w:t>
      </w: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</w:p>
    <w:p w:rsidR="00FD1099" w:rsidRDefault="00FD1099" w:rsidP="006669FE">
      <w:pPr>
        <w:pStyle w:val="NoSpacing"/>
        <w:rPr>
          <w:rFonts w:asciiTheme="majorHAnsi" w:hAnsiTheme="majorHAnsi"/>
          <w:b/>
        </w:rPr>
      </w:pPr>
      <w:r w:rsidRPr="006669FE">
        <w:rPr>
          <w:rFonts w:asciiTheme="majorHAnsi" w:hAnsiTheme="majorHAnsi"/>
          <w:b/>
        </w:rPr>
        <w:t>Test Details</w:t>
      </w:r>
    </w:p>
    <w:p w:rsidR="006669FE" w:rsidRPr="006669FE" w:rsidRDefault="006669FE" w:rsidP="006669FE">
      <w:pPr>
        <w:pStyle w:val="NoSpacing"/>
        <w:rPr>
          <w:rFonts w:asciiTheme="majorHAnsi" w:hAnsiTheme="majorHAnsi"/>
          <w:b/>
        </w:rPr>
      </w:pPr>
    </w:p>
    <w:p w:rsidR="00FD1099" w:rsidRPr="006669FE" w:rsidRDefault="00FD1099" w:rsidP="006669FE">
      <w:pPr>
        <w:pStyle w:val="NoSpacing"/>
        <w:rPr>
          <w:rFonts w:asciiTheme="majorHAnsi" w:hAnsiTheme="majorHAnsi"/>
        </w:rPr>
      </w:pPr>
      <w:r w:rsidRPr="006669FE">
        <w:rPr>
          <w:rFonts w:asciiTheme="majorHAnsi" w:hAnsiTheme="majorHAnsi"/>
        </w:rPr>
        <w:t xml:space="preserve">CPT codes: </w:t>
      </w:r>
      <w:r w:rsidRPr="006669FE">
        <w:rPr>
          <w:rFonts w:asciiTheme="majorHAnsi" w:hAnsiTheme="majorHAnsi"/>
        </w:rPr>
        <w:tab/>
      </w:r>
      <w:r w:rsidR="00F9564E" w:rsidRPr="00F9564E">
        <w:rPr>
          <w:rFonts w:asciiTheme="majorHAnsi" w:hAnsiTheme="majorHAnsi"/>
        </w:rPr>
        <w:t>81222, 81223, 81479x5</w:t>
      </w:r>
    </w:p>
    <w:p w:rsidR="006669FE" w:rsidRDefault="006669FE" w:rsidP="006669FE">
      <w:pPr>
        <w:pStyle w:val="NoSpacing"/>
        <w:ind w:left="1440" w:hanging="1440"/>
        <w:rPr>
          <w:rFonts w:asciiTheme="majorHAnsi" w:hAnsiTheme="majorHAnsi"/>
        </w:rPr>
      </w:pPr>
    </w:p>
    <w:p w:rsidR="00FD1099" w:rsidRPr="00B46A62" w:rsidRDefault="00FD1099" w:rsidP="006669FE">
      <w:pPr>
        <w:pStyle w:val="NoSpacing"/>
        <w:ind w:left="1440" w:hanging="1440"/>
        <w:rPr>
          <w:rFonts w:asciiTheme="majorHAnsi" w:hAnsiTheme="majorHAnsi" w:cs="Arial"/>
        </w:rPr>
      </w:pPr>
      <w:r w:rsidRPr="006669FE">
        <w:rPr>
          <w:rFonts w:asciiTheme="majorHAnsi" w:hAnsiTheme="majorHAnsi"/>
        </w:rPr>
        <w:t xml:space="preserve">Laboratory: </w:t>
      </w:r>
      <w:r w:rsidRPr="006669FE">
        <w:rPr>
          <w:rFonts w:asciiTheme="majorHAnsi" w:hAnsiTheme="majorHAnsi"/>
        </w:rPr>
        <w:tab/>
      </w:r>
      <w:r w:rsidRPr="006669FE">
        <w:rPr>
          <w:rFonts w:asciiTheme="majorHAnsi" w:hAnsiTheme="majorHAnsi" w:cs="Arial"/>
        </w:rPr>
        <w:t>Ambry Genetics Corporation (TIN 33-0892453 / NPI 1861568784), a CAP-</w:t>
      </w:r>
      <w:r w:rsidR="006669FE">
        <w:rPr>
          <w:rFonts w:asciiTheme="majorHAnsi" w:hAnsiTheme="majorHAnsi" w:cs="Arial"/>
        </w:rPr>
        <w:t xml:space="preserve">accredited and </w:t>
      </w:r>
      <w:r w:rsidRPr="006669FE">
        <w:rPr>
          <w:rFonts w:asciiTheme="majorHAnsi" w:hAnsiTheme="majorHAnsi" w:cs="Arial"/>
        </w:rPr>
        <w:t xml:space="preserve">CLIA-certified laboratory located at </w:t>
      </w:r>
      <w:r w:rsidR="005C293C">
        <w:rPr>
          <w:rFonts w:asciiTheme="majorHAnsi" w:hAnsiTheme="majorHAnsi" w:cs="Arial"/>
        </w:rPr>
        <w:t>7</w:t>
      </w:r>
      <w:r w:rsidRPr="006669FE">
        <w:rPr>
          <w:rFonts w:asciiTheme="majorHAnsi" w:hAnsiTheme="majorHAnsi" w:cs="Arial"/>
        </w:rPr>
        <w:t xml:space="preserve"> Argonaut, Aliso Viejo, CA </w:t>
      </w:r>
      <w:r w:rsidRPr="00B46A62">
        <w:rPr>
          <w:rFonts w:asciiTheme="majorHAnsi" w:hAnsiTheme="majorHAnsi" w:cs="Arial"/>
        </w:rPr>
        <w:t>92656</w:t>
      </w:r>
    </w:p>
    <w:p w:rsidR="00B46A62" w:rsidRDefault="00B46A62" w:rsidP="006669FE">
      <w:pPr>
        <w:pStyle w:val="NoSpacing"/>
        <w:ind w:left="1440" w:hanging="1440"/>
        <w:rPr>
          <w:rFonts w:asciiTheme="majorHAnsi" w:hAnsiTheme="majorHAnsi" w:cs="Arial"/>
        </w:rPr>
      </w:pPr>
    </w:p>
    <w:p w:rsidR="00C729ED" w:rsidRPr="00B46A62" w:rsidRDefault="00C729ED" w:rsidP="006669FE">
      <w:pPr>
        <w:pStyle w:val="NoSpacing"/>
        <w:ind w:left="1440" w:hanging="1440"/>
        <w:rPr>
          <w:rFonts w:asciiTheme="majorHAnsi" w:hAnsiTheme="majorHAnsi" w:cs="Arial"/>
        </w:rPr>
      </w:pPr>
    </w:p>
    <w:p w:rsidR="00B46A62" w:rsidRDefault="00B46A62" w:rsidP="006669FE">
      <w:pPr>
        <w:pStyle w:val="NoSpacing"/>
        <w:ind w:left="1440" w:hanging="1440"/>
        <w:rPr>
          <w:rFonts w:asciiTheme="majorHAnsi" w:hAnsiTheme="majorHAnsi" w:cs="Arial"/>
          <w:b/>
        </w:rPr>
      </w:pPr>
      <w:r w:rsidRPr="00B46A62">
        <w:rPr>
          <w:rFonts w:asciiTheme="majorHAnsi" w:hAnsiTheme="majorHAnsi" w:cs="Arial"/>
          <w:b/>
        </w:rPr>
        <w:t>References</w:t>
      </w:r>
    </w:p>
    <w:p w:rsidR="0096548C" w:rsidRPr="0096548C" w:rsidRDefault="0096548C" w:rsidP="0096548C">
      <w:pPr>
        <w:rPr>
          <w:rFonts w:asciiTheme="majorHAnsi" w:hAnsiTheme="majorHAnsi" w:cs="Arial"/>
        </w:rPr>
      </w:pPr>
      <w:r w:rsidRPr="0096548C">
        <w:rPr>
          <w:rFonts w:asciiTheme="majorHAnsi" w:hAnsiTheme="majorHAnsi" w:cs="Arial"/>
        </w:rPr>
        <w:t xml:space="preserve">1. Becker-Heck A, </w:t>
      </w:r>
      <w:r w:rsidRPr="0096548C">
        <w:rPr>
          <w:rFonts w:asciiTheme="majorHAnsi" w:hAnsiTheme="majorHAnsi" w:cs="Arial"/>
          <w:i/>
        </w:rPr>
        <w:t>et al.</w:t>
      </w:r>
      <w:r w:rsidRPr="0096548C">
        <w:rPr>
          <w:rFonts w:asciiTheme="majorHAnsi" w:hAnsiTheme="majorHAnsi" w:cs="Arial"/>
        </w:rPr>
        <w:t xml:space="preserve"> The coiled-coil domain containing protein CCDC40 is essential for motile cilia function and left-right axis formation. </w:t>
      </w:r>
      <w:hyperlink r:id="rId7" w:tooltip="Nature genetics." w:history="1">
        <w:r w:rsidRPr="0096548C">
          <w:rPr>
            <w:rStyle w:val="Hyperlink"/>
            <w:rFonts w:asciiTheme="majorHAnsi" w:hAnsiTheme="majorHAnsi" w:cs="Arial"/>
            <w:color w:val="auto"/>
          </w:rPr>
          <w:t>Nat Genet.</w:t>
        </w:r>
      </w:hyperlink>
      <w:r w:rsidRPr="0096548C">
        <w:rPr>
          <w:rFonts w:asciiTheme="majorHAnsi" w:hAnsiTheme="majorHAnsi" w:cs="Arial"/>
        </w:rPr>
        <w:t> 2011 Jan;43(1):79-84. </w:t>
      </w:r>
    </w:p>
    <w:p w:rsidR="0096548C" w:rsidRPr="00B46A62" w:rsidRDefault="0096548C" w:rsidP="006669FE">
      <w:pPr>
        <w:pStyle w:val="NoSpacing"/>
        <w:ind w:left="1440" w:hanging="1440"/>
        <w:rPr>
          <w:rFonts w:asciiTheme="majorHAnsi" w:hAnsiTheme="majorHAnsi" w:cs="Arial"/>
        </w:rPr>
      </w:pPr>
    </w:p>
    <w:p w:rsidR="00B46A62" w:rsidRDefault="0096548C" w:rsidP="006669FE">
      <w:pPr>
        <w:pStyle w:val="NoSpacing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2. </w:t>
      </w:r>
      <w:r w:rsidR="00B46A62" w:rsidRPr="00B46A62">
        <w:rPr>
          <w:rFonts w:asciiTheme="majorHAnsi" w:hAnsiTheme="majorHAnsi" w:cs="Arial"/>
        </w:rPr>
        <w:t>Zariwala MA</w:t>
      </w:r>
      <w:r w:rsidR="00B46A62">
        <w:rPr>
          <w:rFonts w:asciiTheme="majorHAnsi" w:hAnsiTheme="majorHAnsi" w:cs="Arial"/>
        </w:rPr>
        <w:t>,</w:t>
      </w:r>
      <w:r w:rsidR="00B46A62" w:rsidRPr="00B46A62">
        <w:rPr>
          <w:rFonts w:asciiTheme="majorHAnsi" w:hAnsiTheme="majorHAnsi" w:cs="Arial"/>
        </w:rPr>
        <w:t xml:space="preserve"> </w:t>
      </w:r>
      <w:r w:rsidR="00B46A62" w:rsidRPr="00B46A62">
        <w:rPr>
          <w:rFonts w:asciiTheme="majorHAnsi" w:hAnsiTheme="majorHAnsi" w:cs="Arial"/>
          <w:i/>
        </w:rPr>
        <w:t>et al.</w:t>
      </w:r>
      <w:r w:rsidR="00B46A62" w:rsidRPr="00B46A62">
        <w:rPr>
          <w:rFonts w:asciiTheme="majorHAnsi" w:hAnsiTheme="majorHAnsi" w:cs="Arial"/>
        </w:rPr>
        <w:t xml:space="preserve">  Genetic defects in ciliary structure and function.  </w:t>
      </w:r>
      <w:hyperlink r:id="rId8" w:tooltip="Annual review of physiology." w:history="1">
        <w:r w:rsidRPr="0096548C">
          <w:rPr>
            <w:rStyle w:val="Hyperlink"/>
            <w:rFonts w:asciiTheme="majorHAnsi" w:hAnsiTheme="majorHAnsi" w:cs="Arial"/>
            <w:color w:val="auto"/>
          </w:rPr>
          <w:t>Annu Rev Physiol.</w:t>
        </w:r>
      </w:hyperlink>
      <w:r w:rsidRPr="0096548C">
        <w:rPr>
          <w:rFonts w:asciiTheme="majorHAnsi" w:hAnsiTheme="majorHAnsi" w:cs="Arial"/>
        </w:rPr>
        <w:t> 2007;69:423-50.</w:t>
      </w:r>
      <w:r w:rsidRPr="0096548C" w:rsidDel="0096548C">
        <w:rPr>
          <w:rFonts w:asciiTheme="majorHAnsi" w:hAnsiTheme="majorHAnsi" w:cs="Arial"/>
        </w:rPr>
        <w:t xml:space="preserve"> </w:t>
      </w:r>
    </w:p>
    <w:p w:rsidR="0096548C" w:rsidRPr="00B46A62" w:rsidRDefault="0096548C" w:rsidP="006669FE">
      <w:pPr>
        <w:pStyle w:val="NoSpacing"/>
        <w:rPr>
          <w:rFonts w:asciiTheme="majorHAnsi" w:hAnsiTheme="majorHAnsi" w:cs="Arial"/>
        </w:rPr>
      </w:pPr>
    </w:p>
    <w:p w:rsidR="00573B7F" w:rsidRPr="00B46A62" w:rsidRDefault="0096548C" w:rsidP="006669FE">
      <w:pPr>
        <w:pStyle w:val="NoSpacing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3. </w:t>
      </w:r>
      <w:r w:rsidR="00B46A62" w:rsidRPr="00B46A62">
        <w:rPr>
          <w:rFonts w:asciiTheme="majorHAnsi" w:hAnsiTheme="majorHAnsi" w:cs="Arial"/>
        </w:rPr>
        <w:t xml:space="preserve">Sha YW, </w:t>
      </w:r>
      <w:r w:rsidR="00B46A62" w:rsidRPr="00B46A62">
        <w:rPr>
          <w:rFonts w:asciiTheme="majorHAnsi" w:hAnsiTheme="majorHAnsi" w:cs="Arial"/>
          <w:i/>
        </w:rPr>
        <w:t>et al</w:t>
      </w:r>
      <w:r w:rsidR="00B46A62" w:rsidRPr="00B46A62">
        <w:rPr>
          <w:rFonts w:asciiTheme="majorHAnsi" w:hAnsiTheme="majorHAnsi" w:cs="Arial"/>
        </w:rPr>
        <w:t xml:space="preserve">.  Management of primary ciliary dyskinesia/Kartagener's syndrome in infertile male patients and current progress in defining the underlying genetic mechanism.  </w:t>
      </w:r>
      <w:hyperlink r:id="rId9" w:tooltip="Asian journal of andrology." w:history="1">
        <w:r w:rsidRPr="0096548C">
          <w:rPr>
            <w:rStyle w:val="Hyperlink"/>
            <w:rFonts w:asciiTheme="majorHAnsi" w:hAnsiTheme="majorHAnsi" w:cs="Arial"/>
            <w:color w:val="auto"/>
          </w:rPr>
          <w:t>Asian J Androl</w:t>
        </w:r>
        <w:r w:rsidRPr="0096548C">
          <w:rPr>
            <w:rStyle w:val="Hyperlink"/>
            <w:rFonts w:asciiTheme="majorHAnsi" w:hAnsiTheme="majorHAnsi" w:cs="Arial"/>
          </w:rPr>
          <w:t>.</w:t>
        </w:r>
      </w:hyperlink>
      <w:r w:rsidRPr="0096548C">
        <w:rPr>
          <w:rFonts w:asciiTheme="majorHAnsi" w:hAnsiTheme="majorHAnsi" w:cs="Arial"/>
        </w:rPr>
        <w:t> 2014 Jan-Feb;16(1):101-6. </w:t>
      </w:r>
    </w:p>
    <w:sectPr w:rsidR="00573B7F" w:rsidRPr="00B46A62" w:rsidSect="002065D5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06"/>
    <w:multiLevelType w:val="hybridMultilevel"/>
    <w:tmpl w:val="B9267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6BE7"/>
    <w:multiLevelType w:val="hybridMultilevel"/>
    <w:tmpl w:val="BA4ED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01F3C"/>
    <w:multiLevelType w:val="hybridMultilevel"/>
    <w:tmpl w:val="D2EE9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306F5"/>
    <w:multiLevelType w:val="multilevel"/>
    <w:tmpl w:val="4C68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933FCE"/>
    <w:multiLevelType w:val="multilevel"/>
    <w:tmpl w:val="0D22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796148"/>
    <w:multiLevelType w:val="hybridMultilevel"/>
    <w:tmpl w:val="9B22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9"/>
    <w:rsid w:val="000018AF"/>
    <w:rsid w:val="00027342"/>
    <w:rsid w:val="000D64D8"/>
    <w:rsid w:val="00120093"/>
    <w:rsid w:val="001609C7"/>
    <w:rsid w:val="00175BD4"/>
    <w:rsid w:val="00175CAC"/>
    <w:rsid w:val="001F04D1"/>
    <w:rsid w:val="002065D5"/>
    <w:rsid w:val="0021330B"/>
    <w:rsid w:val="00261B15"/>
    <w:rsid w:val="002B6721"/>
    <w:rsid w:val="0031038D"/>
    <w:rsid w:val="003264D0"/>
    <w:rsid w:val="0035669B"/>
    <w:rsid w:val="003C5EBA"/>
    <w:rsid w:val="003F6A04"/>
    <w:rsid w:val="00407CB8"/>
    <w:rsid w:val="00494A12"/>
    <w:rsid w:val="004D5294"/>
    <w:rsid w:val="004F3980"/>
    <w:rsid w:val="00573B7F"/>
    <w:rsid w:val="005C28CE"/>
    <w:rsid w:val="005C293C"/>
    <w:rsid w:val="006669FE"/>
    <w:rsid w:val="0068254D"/>
    <w:rsid w:val="006A1502"/>
    <w:rsid w:val="006C2264"/>
    <w:rsid w:val="006D0451"/>
    <w:rsid w:val="006D2B71"/>
    <w:rsid w:val="006E0F66"/>
    <w:rsid w:val="00746ED2"/>
    <w:rsid w:val="007A25E9"/>
    <w:rsid w:val="007C41EA"/>
    <w:rsid w:val="007D372C"/>
    <w:rsid w:val="00807BA9"/>
    <w:rsid w:val="008156C0"/>
    <w:rsid w:val="0082012C"/>
    <w:rsid w:val="00853DC9"/>
    <w:rsid w:val="008F217B"/>
    <w:rsid w:val="00935EA0"/>
    <w:rsid w:val="0096548C"/>
    <w:rsid w:val="009D63D6"/>
    <w:rsid w:val="00A65428"/>
    <w:rsid w:val="00A81C78"/>
    <w:rsid w:val="00B12F0D"/>
    <w:rsid w:val="00B30A15"/>
    <w:rsid w:val="00B36100"/>
    <w:rsid w:val="00B46A62"/>
    <w:rsid w:val="00B614CE"/>
    <w:rsid w:val="00B6306A"/>
    <w:rsid w:val="00B83A46"/>
    <w:rsid w:val="00B94387"/>
    <w:rsid w:val="00BD0965"/>
    <w:rsid w:val="00C3200A"/>
    <w:rsid w:val="00C443B4"/>
    <w:rsid w:val="00C729ED"/>
    <w:rsid w:val="00C73B43"/>
    <w:rsid w:val="00CA5352"/>
    <w:rsid w:val="00CB1BE6"/>
    <w:rsid w:val="00D0317F"/>
    <w:rsid w:val="00D25A5D"/>
    <w:rsid w:val="00D827F3"/>
    <w:rsid w:val="00DB633B"/>
    <w:rsid w:val="00EA0DB8"/>
    <w:rsid w:val="00F235EC"/>
    <w:rsid w:val="00F271F6"/>
    <w:rsid w:val="00F674B0"/>
    <w:rsid w:val="00F73FFD"/>
    <w:rsid w:val="00F9564E"/>
    <w:rsid w:val="00FA1A81"/>
    <w:rsid w:val="00FB7810"/>
    <w:rsid w:val="00FC1DBF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B7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17B"/>
    <w:pPr>
      <w:ind w:left="720"/>
      <w:contextualSpacing/>
    </w:pPr>
  </w:style>
  <w:style w:type="paragraph" w:styleId="NoSpacing">
    <w:name w:val="No Spacing"/>
    <w:uiPriority w:val="1"/>
    <w:qFormat/>
    <w:rsid w:val="006669FE"/>
    <w:pPr>
      <w:spacing w:after="0" w:line="240" w:lineRule="auto"/>
    </w:pPr>
  </w:style>
  <w:style w:type="paragraph" w:styleId="Revision">
    <w:name w:val="Revision"/>
    <w:hidden/>
    <w:uiPriority w:val="99"/>
    <w:semiHidden/>
    <w:rsid w:val="006669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705935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cbi.nlm.nih.gov/pubmed/?term=The+coiled-coil+domain+containing+protein+CCDC40+is+essential+for+motile+cilia+function+and+left-right+axis+formation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pubmed/?term=Management+of+primary+ciliary+dyskinesia%2FKartagener%27s+syndrome+in+infertile+male+patients+and+current+progress+in+defining+the+underlying+genetic+mechanis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A2E1-68A5-43B2-A498-514D72F5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Kasey O'Neill</cp:lastModifiedBy>
  <cp:revision>3</cp:revision>
  <dcterms:created xsi:type="dcterms:W3CDTF">2018-06-27T19:08:00Z</dcterms:created>
  <dcterms:modified xsi:type="dcterms:W3CDTF">2018-06-27T19:47:00Z</dcterms:modified>
</cp:coreProperties>
</file>