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57E1A" w14:textId="77777777" w:rsidR="00FA361D" w:rsidRDefault="00FA361D" w:rsidP="0035611D">
      <w:pPr>
        <w:spacing w:after="0" w:line="240" w:lineRule="auto"/>
        <w:jc w:val="center"/>
        <w:textAlignment w:val="baseline"/>
        <w:rPr>
          <w:rFonts w:ascii="Cambria" w:eastAsia="Times New Roman" w:hAnsi="Cambria" w:cs="Segoe UI"/>
          <w:b/>
          <w:bCs/>
        </w:rPr>
      </w:pPr>
    </w:p>
    <w:p w14:paraId="0EB8FE2B" w14:textId="77777777" w:rsidR="00FA361D" w:rsidRDefault="0035611D" w:rsidP="0035611D">
      <w:pPr>
        <w:spacing w:after="0" w:line="240" w:lineRule="auto"/>
        <w:jc w:val="center"/>
        <w:textAlignment w:val="baseline"/>
        <w:rPr>
          <w:rFonts w:ascii="Cambria" w:eastAsia="Times New Roman" w:hAnsi="Cambria" w:cs="Segoe UI"/>
          <w:b/>
          <w:bCs/>
        </w:rPr>
      </w:pPr>
      <w:r w:rsidRPr="0035611D">
        <w:rPr>
          <w:rFonts w:ascii="Cambria" w:eastAsia="Times New Roman" w:hAnsi="Cambria" w:cs="Segoe UI"/>
          <w:b/>
          <w:bCs/>
        </w:rPr>
        <w:t xml:space="preserve">LETTER OF MEDICAL NECESSITY FOR </w:t>
      </w:r>
    </w:p>
    <w:p w14:paraId="63B7546E" w14:textId="62E1E271" w:rsidR="0035611D" w:rsidRPr="0035611D" w:rsidRDefault="0035611D" w:rsidP="0035611D">
      <w:pPr>
        <w:spacing w:after="0" w:line="240" w:lineRule="auto"/>
        <w:jc w:val="center"/>
        <w:textAlignment w:val="baseline"/>
        <w:rPr>
          <w:rFonts w:ascii="Segoe UI" w:eastAsia="Times New Roman" w:hAnsi="Segoe UI" w:cs="Segoe UI"/>
          <w:sz w:val="18"/>
          <w:szCs w:val="18"/>
        </w:rPr>
      </w:pPr>
      <w:r w:rsidRPr="0035611D">
        <w:rPr>
          <w:rFonts w:ascii="Cambria" w:eastAsia="Times New Roman" w:hAnsi="Cambria" w:cs="Segoe UI"/>
          <w:b/>
          <w:bCs/>
        </w:rPr>
        <w:t>GENETIC TESTING FOR LONG QT SYNDROME (</w:t>
      </w:r>
      <w:proofErr w:type="spellStart"/>
      <w:r w:rsidRPr="0035611D">
        <w:rPr>
          <w:rFonts w:ascii="Cambria" w:eastAsia="Times New Roman" w:hAnsi="Cambria" w:cs="Segoe UI"/>
          <w:b/>
          <w:bCs/>
        </w:rPr>
        <w:t>LongQTNext</w:t>
      </w:r>
      <w:proofErr w:type="spellEnd"/>
      <w:r w:rsidRPr="0035611D">
        <w:rPr>
          <w:rFonts w:ascii="Cambria" w:eastAsia="Times New Roman" w:hAnsi="Cambria" w:cs="Segoe UI"/>
          <w:b/>
          <w:bCs/>
        </w:rPr>
        <w:t>)</w:t>
      </w:r>
      <w:r w:rsidRPr="0035611D">
        <w:rPr>
          <w:rFonts w:ascii="Cambria" w:eastAsia="Times New Roman" w:hAnsi="Cambria" w:cs="Segoe UI"/>
        </w:rPr>
        <w:t> </w:t>
      </w:r>
    </w:p>
    <w:p w14:paraId="0194C501" w14:textId="77777777" w:rsidR="0035611D" w:rsidRDefault="0035611D" w:rsidP="0035611D">
      <w:pPr>
        <w:spacing w:after="0" w:line="240" w:lineRule="auto"/>
        <w:textAlignment w:val="baseline"/>
        <w:rPr>
          <w:rFonts w:ascii="Cambria" w:eastAsia="Times New Roman" w:hAnsi="Cambria" w:cs="Segoe UI"/>
        </w:rPr>
      </w:pPr>
    </w:p>
    <w:p w14:paraId="0B2EE09F" w14:textId="4356696A"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xml:space="preserve">Date: </w:t>
      </w:r>
      <w:r>
        <w:rPr>
          <w:rFonts w:ascii="Cambria" w:eastAsia="Times New Roman" w:hAnsi="Cambria" w:cs="Segoe UI"/>
        </w:rPr>
        <w:tab/>
      </w:r>
      <w:r w:rsidRPr="0035611D">
        <w:rPr>
          <w:rFonts w:ascii="Cambria" w:eastAsia="Times New Roman" w:hAnsi="Cambria" w:cs="Segoe UI"/>
          <w:color w:val="00B0F0"/>
        </w:rPr>
        <w:t>Date of Service/Claim</w:t>
      </w:r>
      <w:r w:rsidRPr="0035611D">
        <w:rPr>
          <w:rFonts w:ascii="Cambria" w:eastAsia="Times New Roman" w:hAnsi="Cambria" w:cs="Segoe UI"/>
        </w:rPr>
        <w:t>  </w:t>
      </w:r>
    </w:p>
    <w:p w14:paraId="206BF361" w14:textId="77777777" w:rsidR="0035611D" w:rsidRPr="0035611D" w:rsidRDefault="0035611D" w:rsidP="0035611D">
      <w:pPr>
        <w:spacing w:after="0" w:line="240" w:lineRule="auto"/>
        <w:ind w:left="5760" w:firstLine="720"/>
        <w:textAlignment w:val="baseline"/>
        <w:rPr>
          <w:rFonts w:ascii="Segoe UI" w:eastAsia="Times New Roman" w:hAnsi="Segoe UI" w:cs="Segoe UI"/>
          <w:sz w:val="18"/>
          <w:szCs w:val="18"/>
        </w:rPr>
      </w:pPr>
      <w:r w:rsidRPr="0035611D">
        <w:rPr>
          <w:rFonts w:ascii="Cambria" w:eastAsia="Times New Roman" w:hAnsi="Cambria" w:cs="Segoe UI"/>
        </w:rPr>
        <w:t>  </w:t>
      </w:r>
    </w:p>
    <w:p w14:paraId="68648BE1" w14:textId="6516EE3C"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To:</w:t>
      </w:r>
      <w:r w:rsidRPr="0035611D">
        <w:rPr>
          <w:rFonts w:ascii="Calibri" w:eastAsia="Times New Roman" w:hAnsi="Calibri" w:cs="Calibri"/>
        </w:rPr>
        <w:t xml:space="preserve"> </w:t>
      </w:r>
      <w:r>
        <w:rPr>
          <w:rFonts w:ascii="Calibri" w:eastAsia="Times New Roman" w:hAnsi="Calibri" w:cs="Calibri"/>
        </w:rPr>
        <w:tab/>
      </w:r>
      <w:r w:rsidRPr="0035611D">
        <w:rPr>
          <w:rFonts w:ascii="Cambria" w:eastAsia="Times New Roman" w:hAnsi="Cambria" w:cs="Segoe UI"/>
        </w:rPr>
        <w:t>Utilization Review Department  </w:t>
      </w:r>
    </w:p>
    <w:p w14:paraId="7457270E" w14:textId="77777777" w:rsidR="0035611D" w:rsidRPr="0035611D" w:rsidRDefault="0035611D" w:rsidP="0035611D">
      <w:pPr>
        <w:spacing w:after="0" w:line="240" w:lineRule="auto"/>
        <w:ind w:firstLine="720"/>
        <w:textAlignment w:val="baseline"/>
        <w:rPr>
          <w:rFonts w:ascii="Segoe UI" w:eastAsia="Times New Roman" w:hAnsi="Segoe UI" w:cs="Segoe UI"/>
          <w:sz w:val="18"/>
          <w:szCs w:val="18"/>
        </w:rPr>
      </w:pPr>
      <w:r w:rsidRPr="0035611D">
        <w:rPr>
          <w:rFonts w:ascii="Cambria" w:eastAsia="Times New Roman" w:hAnsi="Cambria" w:cs="Segoe UI"/>
          <w:color w:val="00B0F0"/>
        </w:rPr>
        <w:t>Insurance Company Name, Address, City, State </w:t>
      </w:r>
    </w:p>
    <w:p w14:paraId="4E8228A4" w14:textId="77777777" w:rsidR="0035611D" w:rsidRPr="0035611D" w:rsidRDefault="0035611D" w:rsidP="0035611D">
      <w:pPr>
        <w:spacing w:after="0" w:line="240" w:lineRule="auto"/>
        <w:ind w:firstLine="3600"/>
        <w:textAlignment w:val="baseline"/>
        <w:rPr>
          <w:rFonts w:ascii="Segoe UI" w:eastAsia="Times New Roman" w:hAnsi="Segoe UI" w:cs="Segoe UI"/>
          <w:sz w:val="18"/>
          <w:szCs w:val="18"/>
        </w:rPr>
      </w:pPr>
      <w:r w:rsidRPr="0035611D">
        <w:rPr>
          <w:rFonts w:ascii="Cambria" w:eastAsia="Times New Roman" w:hAnsi="Cambria" w:cs="Segoe UI"/>
        </w:rPr>
        <w:t> </w:t>
      </w:r>
    </w:p>
    <w:p w14:paraId="725DEC6C" w14:textId="3BBE5A39"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Re:</w:t>
      </w:r>
      <w:r w:rsidRPr="0035611D">
        <w:rPr>
          <w:rFonts w:ascii="Calibri" w:eastAsia="Times New Roman" w:hAnsi="Calibri" w:cs="Calibri"/>
        </w:rPr>
        <w:t xml:space="preserve"> </w:t>
      </w:r>
      <w:r>
        <w:rPr>
          <w:rFonts w:ascii="Calibri" w:eastAsia="Times New Roman" w:hAnsi="Calibri" w:cs="Calibri"/>
        </w:rPr>
        <w:tab/>
      </w:r>
      <w:r w:rsidRPr="0035611D">
        <w:rPr>
          <w:rFonts w:ascii="Cambria" w:eastAsia="Times New Roman" w:hAnsi="Cambria" w:cs="Segoe UI"/>
          <w:color w:val="00B0F0"/>
        </w:rPr>
        <w:t>Patient Name, DOB, ID # </w:t>
      </w:r>
    </w:p>
    <w:p w14:paraId="1843EB11" w14:textId="77777777" w:rsidR="0035611D" w:rsidRPr="0035611D" w:rsidRDefault="0035611D" w:rsidP="0035611D">
      <w:pPr>
        <w:spacing w:after="0" w:line="240" w:lineRule="auto"/>
        <w:ind w:left="1440"/>
        <w:textAlignment w:val="baseline"/>
        <w:rPr>
          <w:rFonts w:ascii="Segoe UI" w:eastAsia="Times New Roman" w:hAnsi="Segoe UI" w:cs="Segoe UI"/>
          <w:sz w:val="18"/>
          <w:szCs w:val="18"/>
        </w:rPr>
      </w:pPr>
      <w:r w:rsidRPr="0035611D">
        <w:rPr>
          <w:rFonts w:ascii="Cambria" w:eastAsia="Times New Roman" w:hAnsi="Cambria" w:cs="Segoe UI"/>
          <w:color w:val="00B0F0"/>
        </w:rPr>
        <w:t> </w:t>
      </w:r>
    </w:p>
    <w:p w14:paraId="75436F8D" w14:textId="77777777" w:rsidR="00FA361D" w:rsidRPr="003014B1" w:rsidRDefault="00FA361D" w:rsidP="00FA361D">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1FCD06FC" w14:textId="77777777" w:rsidR="0035611D" w:rsidRDefault="0035611D" w:rsidP="0035611D">
      <w:pPr>
        <w:spacing w:after="0" w:line="240" w:lineRule="auto"/>
        <w:ind w:firstLine="720"/>
        <w:textAlignment w:val="baseline"/>
        <w:rPr>
          <w:rFonts w:ascii="Cambria" w:eastAsia="Times New Roman" w:hAnsi="Cambria" w:cs="Segoe UI"/>
          <w:color w:val="00B0F0"/>
          <w:sz w:val="18"/>
          <w:szCs w:val="18"/>
        </w:rPr>
      </w:pPr>
    </w:p>
    <w:p w14:paraId="1F5B9BC4" w14:textId="18737144" w:rsidR="0035611D" w:rsidRPr="00DF6BA6" w:rsidRDefault="0035611D" w:rsidP="0035611D">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 xml:space="preserve">Code </w:t>
      </w:r>
      <w:r>
        <w:rPr>
          <w:rFonts w:ascii="Cambria" w:eastAsia="Times New Roman" w:hAnsi="Cambria" w:cs="Segoe UI"/>
          <w:color w:val="00B0F0"/>
          <w:sz w:val="18"/>
          <w:szCs w:val="18"/>
        </w:rPr>
        <w:tab/>
      </w:r>
      <w:r w:rsidRPr="00DF6BA6">
        <w:rPr>
          <w:rFonts w:ascii="Cambria" w:eastAsia="Times New Roman" w:hAnsi="Cambria" w:cs="Segoe UI"/>
          <w:color w:val="00B0F0"/>
          <w:sz w:val="18"/>
          <w:szCs w:val="18"/>
        </w:rPr>
        <w:t>Description </w:t>
      </w:r>
    </w:p>
    <w:p w14:paraId="78CF978E" w14:textId="1791BDC0" w:rsidR="0035611D" w:rsidRPr="0035611D" w:rsidRDefault="0035611D" w:rsidP="0035611D">
      <w:pPr>
        <w:spacing w:after="0" w:line="240" w:lineRule="auto"/>
        <w:ind w:firstLine="720"/>
        <w:textAlignment w:val="baseline"/>
        <w:rPr>
          <w:rFonts w:ascii="Segoe UI" w:eastAsia="Times New Roman" w:hAnsi="Segoe UI" w:cs="Segoe UI"/>
          <w:sz w:val="18"/>
          <w:szCs w:val="18"/>
        </w:rPr>
      </w:pPr>
      <w:r w:rsidRPr="0035611D">
        <w:rPr>
          <w:rFonts w:ascii="Cambria" w:eastAsia="Times New Roman" w:hAnsi="Cambria" w:cs="Segoe UI"/>
          <w:color w:val="00B0F0"/>
          <w:sz w:val="18"/>
          <w:szCs w:val="18"/>
        </w:rPr>
        <w:t>I45.81</w:t>
      </w:r>
      <w:r w:rsidRPr="0035611D">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35611D">
        <w:rPr>
          <w:rFonts w:ascii="Cambria" w:eastAsia="Times New Roman" w:hAnsi="Cambria" w:cs="Segoe UI"/>
          <w:color w:val="00B0F0"/>
          <w:sz w:val="18"/>
          <w:szCs w:val="18"/>
        </w:rPr>
        <w:t>LONG QT SYNDROME </w:t>
      </w:r>
    </w:p>
    <w:p w14:paraId="4EF60C29" w14:textId="4D293E2C" w:rsidR="0035611D" w:rsidRPr="0035611D" w:rsidRDefault="0035611D" w:rsidP="0035611D">
      <w:pPr>
        <w:spacing w:after="0" w:line="240" w:lineRule="auto"/>
        <w:ind w:firstLine="720"/>
        <w:textAlignment w:val="baseline"/>
        <w:rPr>
          <w:rFonts w:ascii="Segoe UI" w:eastAsia="Times New Roman" w:hAnsi="Segoe UI" w:cs="Segoe UI"/>
          <w:sz w:val="18"/>
          <w:szCs w:val="18"/>
        </w:rPr>
      </w:pPr>
      <w:r w:rsidRPr="0035611D">
        <w:rPr>
          <w:rFonts w:ascii="Cambria" w:eastAsia="Times New Roman" w:hAnsi="Cambria" w:cs="Segoe UI"/>
          <w:color w:val="00B0F0"/>
          <w:sz w:val="18"/>
          <w:szCs w:val="18"/>
        </w:rPr>
        <w:t>I42.0</w:t>
      </w:r>
      <w:r w:rsidRPr="0035611D">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35611D">
        <w:rPr>
          <w:rFonts w:ascii="Cambria" w:eastAsia="Times New Roman" w:hAnsi="Cambria" w:cs="Segoe UI"/>
          <w:color w:val="00B0F0"/>
          <w:sz w:val="18"/>
          <w:szCs w:val="18"/>
        </w:rPr>
        <w:t>DILATED CARDIOMYOPATHY </w:t>
      </w:r>
    </w:p>
    <w:p w14:paraId="503D582F" w14:textId="42430C81" w:rsidR="0035611D" w:rsidRPr="0035611D" w:rsidRDefault="0035611D" w:rsidP="0035611D">
      <w:pPr>
        <w:spacing w:after="0" w:line="240" w:lineRule="auto"/>
        <w:ind w:firstLine="720"/>
        <w:textAlignment w:val="baseline"/>
        <w:rPr>
          <w:rFonts w:ascii="Segoe UI" w:eastAsia="Times New Roman" w:hAnsi="Segoe UI" w:cs="Segoe UI"/>
          <w:sz w:val="18"/>
          <w:szCs w:val="18"/>
        </w:rPr>
      </w:pPr>
      <w:r w:rsidRPr="0035611D">
        <w:rPr>
          <w:rFonts w:ascii="Cambria" w:eastAsia="Times New Roman" w:hAnsi="Cambria" w:cs="Segoe UI"/>
          <w:color w:val="00B0F0"/>
          <w:sz w:val="18"/>
          <w:szCs w:val="18"/>
        </w:rPr>
        <w:t>I46.9</w:t>
      </w:r>
      <w:r w:rsidRPr="0035611D">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35611D">
        <w:rPr>
          <w:rFonts w:ascii="Cambria" w:eastAsia="Times New Roman" w:hAnsi="Cambria" w:cs="Segoe UI"/>
          <w:color w:val="00B0F0"/>
          <w:sz w:val="18"/>
          <w:szCs w:val="18"/>
        </w:rPr>
        <w:t>CARDIAC ARREST, CAUSE UNSPECIFIED  </w:t>
      </w:r>
    </w:p>
    <w:p w14:paraId="5C6CF45D" w14:textId="214387A2" w:rsidR="0035611D" w:rsidRPr="0035611D" w:rsidRDefault="0035611D" w:rsidP="0035611D">
      <w:pPr>
        <w:spacing w:after="0" w:line="240" w:lineRule="auto"/>
        <w:ind w:firstLine="720"/>
        <w:textAlignment w:val="baseline"/>
        <w:rPr>
          <w:rFonts w:ascii="Segoe UI" w:eastAsia="Times New Roman" w:hAnsi="Segoe UI" w:cs="Segoe UI"/>
          <w:sz w:val="18"/>
          <w:szCs w:val="18"/>
        </w:rPr>
      </w:pPr>
      <w:r w:rsidRPr="0035611D">
        <w:rPr>
          <w:rFonts w:ascii="Cambria" w:eastAsia="Times New Roman" w:hAnsi="Cambria" w:cs="Segoe UI"/>
          <w:color w:val="00B0F0"/>
          <w:sz w:val="18"/>
          <w:szCs w:val="18"/>
        </w:rPr>
        <w:t>Z82.49</w:t>
      </w:r>
      <w:r w:rsidRPr="0035611D">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35611D">
        <w:rPr>
          <w:rFonts w:ascii="Cambria" w:eastAsia="Times New Roman" w:hAnsi="Cambria" w:cs="Segoe UI"/>
          <w:color w:val="00B0F0"/>
          <w:sz w:val="18"/>
          <w:szCs w:val="18"/>
        </w:rPr>
        <w:t>FAMILY HISTORY OF ISCHEMIC HEART DISEASE AND OTHER DISEASES OF THE CIRCULATORY SYSTEM </w:t>
      </w:r>
    </w:p>
    <w:p w14:paraId="5AE78633" w14:textId="77777777" w:rsidR="0035611D" w:rsidRPr="0035611D" w:rsidRDefault="0035611D" w:rsidP="0035611D">
      <w:pPr>
        <w:pBdr>
          <w:bottom w:val="single" w:sz="12" w:space="1" w:color="auto"/>
        </w:pBdr>
        <w:spacing w:after="0" w:line="240" w:lineRule="auto"/>
        <w:ind w:firstLine="2880"/>
        <w:textAlignment w:val="baseline"/>
        <w:rPr>
          <w:rFonts w:ascii="Segoe UI" w:eastAsia="Times New Roman" w:hAnsi="Segoe UI" w:cs="Segoe UI"/>
          <w:sz w:val="18"/>
          <w:szCs w:val="18"/>
        </w:rPr>
      </w:pPr>
      <w:r w:rsidRPr="0035611D">
        <w:rPr>
          <w:rFonts w:ascii="Cambria" w:eastAsia="Times New Roman" w:hAnsi="Cambria" w:cs="Segoe UI"/>
        </w:rPr>
        <w:t>    </w:t>
      </w:r>
    </w:p>
    <w:p w14:paraId="7F143A60"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46106BA3"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xml:space="preserve">This letter is regarding my patient and your subscriber, referenced above, to request full coverage of medically indicated </w:t>
      </w:r>
      <w:proofErr w:type="spellStart"/>
      <w:r w:rsidRPr="0035611D">
        <w:rPr>
          <w:rFonts w:ascii="Cambria" w:eastAsia="Times New Roman" w:hAnsi="Cambria" w:cs="Segoe UI"/>
        </w:rPr>
        <w:t>LongQTNext</w:t>
      </w:r>
      <w:proofErr w:type="spellEnd"/>
      <w:r w:rsidRPr="0035611D">
        <w:rPr>
          <w:rFonts w:ascii="Cambria" w:eastAsia="Times New Roman" w:hAnsi="Cambria" w:cs="Segoe UI"/>
        </w:rPr>
        <w:t xml:space="preserve"> testing to be performed by Ambry Genetics Corporation.  </w:t>
      </w:r>
    </w:p>
    <w:p w14:paraId="7EFE224E"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7676FF39" w14:textId="17D3B9ED" w:rsidR="0035611D" w:rsidRPr="0035611D" w:rsidRDefault="0035611D" w:rsidP="0035611D">
      <w:pPr>
        <w:spacing w:after="0" w:line="240" w:lineRule="auto"/>
        <w:textAlignment w:val="baseline"/>
        <w:rPr>
          <w:rFonts w:ascii="Segoe UI" w:eastAsia="Times New Roman" w:hAnsi="Segoe UI" w:cs="Segoe UI"/>
          <w:sz w:val="18"/>
          <w:szCs w:val="18"/>
        </w:rPr>
      </w:pPr>
      <w:proofErr w:type="spellStart"/>
      <w:r w:rsidRPr="0035611D">
        <w:rPr>
          <w:rFonts w:ascii="Cambria" w:eastAsia="Times New Roman" w:hAnsi="Cambria" w:cs="Segoe UI"/>
        </w:rPr>
        <w:t>LongQTNext</w:t>
      </w:r>
      <w:proofErr w:type="spellEnd"/>
      <w:r w:rsidRPr="0035611D">
        <w:rPr>
          <w:rFonts w:ascii="Cambria" w:eastAsia="Times New Roman" w:hAnsi="Cambria" w:cs="Segoe UI"/>
        </w:rPr>
        <w:t xml:space="preserve"> analyzes genes most commonly associated with long QT syndrome (LQTS) and related arrythmias. Phenotypic features of LQTS and related arrhythmias may include ECG abnormalities, palpitations, syncope, seizures, stress and/or exercise intolerance. However, </w:t>
      </w:r>
      <w:r w:rsidRPr="0035611D">
        <w:rPr>
          <w:rFonts w:ascii="Cambria" w:eastAsia="Times New Roman" w:hAnsi="Cambria" w:cs="Segoe UI"/>
          <w:b/>
          <w:bCs/>
        </w:rPr>
        <w:t>they are often asymptomatic and can result in sudden cardiac death</w:t>
      </w:r>
      <w:r w:rsidRPr="0035611D">
        <w:rPr>
          <w:rFonts w:ascii="Cambria" w:eastAsia="Times New Roman" w:hAnsi="Cambria" w:cs="Segoe UI"/>
          <w:sz w:val="17"/>
          <w:szCs w:val="17"/>
          <w:vertAlign w:val="superscript"/>
        </w:rPr>
        <w:t>1,2</w:t>
      </w:r>
      <w:r w:rsidRPr="0035611D">
        <w:rPr>
          <w:rFonts w:ascii="Cambria" w:eastAsia="Times New Roman" w:hAnsi="Cambria" w:cs="Segoe UI"/>
        </w:rPr>
        <w:t xml:space="preserve">. The genetic etiology of these arrhythmias is mostly associated with mutations in genes that encode </w:t>
      </w:r>
      <w:r w:rsidRPr="0035611D">
        <w:rPr>
          <w:rFonts w:ascii="Cambria" w:eastAsia="Times New Roman" w:hAnsi="Cambria" w:cs="Segoe UI"/>
          <w:color w:val="000000"/>
          <w:shd w:val="clear" w:color="auto" w:fill="FFFFFF"/>
        </w:rPr>
        <w:t>for potassium or sodium cardiac ion channels or interacting proteins</w:t>
      </w:r>
      <w:r w:rsidRPr="0035611D">
        <w:rPr>
          <w:rFonts w:ascii="Cambria" w:eastAsia="Times New Roman" w:hAnsi="Cambria" w:cs="Segoe UI"/>
          <w:sz w:val="17"/>
          <w:szCs w:val="17"/>
          <w:vertAlign w:val="superscript"/>
        </w:rPr>
        <w:t>1,2,5</w:t>
      </w:r>
      <w:r w:rsidRPr="0035611D">
        <w:rPr>
          <w:rFonts w:ascii="Cambria" w:eastAsia="Times New Roman" w:hAnsi="Cambria" w:cs="Segoe UI"/>
          <w:color w:val="000000"/>
          <w:shd w:val="clear" w:color="auto" w:fill="FFFFFF"/>
        </w:rPr>
        <w:t xml:space="preserve">. </w:t>
      </w:r>
      <w:r w:rsidRPr="0035611D">
        <w:rPr>
          <w:rFonts w:ascii="Cambria" w:eastAsia="Times New Roman" w:hAnsi="Cambria" w:cs="Segoe UI"/>
          <w:color w:val="000000"/>
        </w:rPr>
        <w:t> </w:t>
      </w:r>
    </w:p>
    <w:p w14:paraId="1554CD4F" w14:textId="77777777" w:rsidR="00FD7603" w:rsidRDefault="00FD7603" w:rsidP="0035611D">
      <w:pPr>
        <w:spacing w:after="0" w:line="240" w:lineRule="auto"/>
        <w:textAlignment w:val="baseline"/>
        <w:rPr>
          <w:rFonts w:ascii="Cambria" w:eastAsia="Times New Roman" w:hAnsi="Cambria" w:cs="Segoe UI"/>
          <w:b/>
          <w:bCs/>
        </w:rPr>
      </w:pPr>
    </w:p>
    <w:p w14:paraId="4E2A1555" w14:textId="24B6D6A2"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b/>
          <w:bCs/>
        </w:rPr>
        <w:t xml:space="preserve">Significant aspects of my patient’s personal and/or family medical history that suggest a hereditary arrhythmia are below: </w:t>
      </w:r>
      <w:r w:rsidRPr="0035611D">
        <w:rPr>
          <w:rFonts w:ascii="Cambria" w:eastAsia="Times New Roman" w:hAnsi="Cambria" w:cs="Segoe UI"/>
          <w:color w:val="00B0F0"/>
        </w:rPr>
        <w:t>[check all that apply] </w:t>
      </w:r>
    </w:p>
    <w:p w14:paraId="3F813FCF"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5C79D18C" w14:textId="77777777" w:rsidR="0035611D" w:rsidRPr="0035611D" w:rsidRDefault="0035611D" w:rsidP="00A72D41">
      <w:pPr>
        <w:numPr>
          <w:ilvl w:val="0"/>
          <w:numId w:val="143"/>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Clinical suspicion for LQTS or a related arrhythmia based on ECG, stress test, or Holter monitor results </w:t>
      </w:r>
    </w:p>
    <w:p w14:paraId="4868D089" w14:textId="77777777" w:rsidR="0035611D" w:rsidRPr="0035611D" w:rsidRDefault="0035611D" w:rsidP="00A72D41">
      <w:pPr>
        <w:numPr>
          <w:ilvl w:val="0"/>
          <w:numId w:val="143"/>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Personal or family history of palpitations, dizziness, syncope, seizures, stress and/or exercise intolerance </w:t>
      </w:r>
    </w:p>
    <w:p w14:paraId="7814E817" w14:textId="77777777" w:rsidR="0035611D" w:rsidRPr="0035611D" w:rsidRDefault="0035611D" w:rsidP="00A72D41">
      <w:pPr>
        <w:numPr>
          <w:ilvl w:val="0"/>
          <w:numId w:val="143"/>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Personal or family history of sudden cardiac death or near sudden death </w:t>
      </w:r>
    </w:p>
    <w:p w14:paraId="2F8E2488" w14:textId="333C7A09" w:rsidR="1C836CF3" w:rsidRDefault="1C836CF3" w:rsidP="0F24C384">
      <w:pPr>
        <w:numPr>
          <w:ilvl w:val="0"/>
          <w:numId w:val="143"/>
        </w:numPr>
        <w:spacing w:after="0" w:line="240" w:lineRule="auto"/>
        <w:rPr>
          <w:rFonts w:ascii="Cambria" w:eastAsia="Times New Roman" w:hAnsi="Cambria" w:cs="Segoe UI"/>
          <w:color w:val="00B0F0"/>
        </w:rPr>
      </w:pPr>
      <w:r w:rsidRPr="0F24C384">
        <w:rPr>
          <w:rFonts w:ascii="Cambria" w:eastAsia="Times New Roman" w:hAnsi="Cambria" w:cs="Segoe UI"/>
          <w:color w:val="00B0F0"/>
        </w:rPr>
        <w:t>1st or 2</w:t>
      </w:r>
      <w:r w:rsidRPr="0F24C384">
        <w:rPr>
          <w:rFonts w:ascii="Cambria" w:eastAsia="Times New Roman" w:hAnsi="Cambria" w:cs="Segoe UI"/>
          <w:color w:val="00B0F0"/>
          <w:vertAlign w:val="superscript"/>
        </w:rPr>
        <w:t>nd</w:t>
      </w:r>
      <w:r w:rsidRPr="0F24C384">
        <w:rPr>
          <w:rFonts w:ascii="Cambria" w:eastAsia="Times New Roman" w:hAnsi="Cambria" w:cs="Segoe UI"/>
          <w:color w:val="00B0F0"/>
        </w:rPr>
        <w:t xml:space="preserve"> degree relative with a clinical diagnosis of LQTS</w:t>
      </w:r>
    </w:p>
    <w:p w14:paraId="3F73B317" w14:textId="52A6D330" w:rsidR="1C836CF3" w:rsidRDefault="1C836CF3" w:rsidP="0F24C384">
      <w:pPr>
        <w:numPr>
          <w:ilvl w:val="0"/>
          <w:numId w:val="143"/>
        </w:numPr>
        <w:spacing w:after="0" w:line="240" w:lineRule="auto"/>
        <w:rPr>
          <w:rFonts w:ascii="Cambria" w:eastAsia="Times New Roman" w:hAnsi="Cambria" w:cs="Segoe UI"/>
          <w:color w:val="00B0F0"/>
        </w:rPr>
      </w:pPr>
      <w:r w:rsidRPr="0F24C384">
        <w:rPr>
          <w:rFonts w:ascii="Cambria" w:eastAsia="Times New Roman" w:hAnsi="Cambria" w:cs="Segoe UI"/>
          <w:color w:val="00B0F0"/>
        </w:rPr>
        <w:t xml:space="preserve">Alternative etiologies for LQTS have been ruled out including drug-induced, electrolyte abnormalities, eating disorders, coronary artery disease, and </w:t>
      </w:r>
      <w:r w:rsidR="6F3006D6" w:rsidRPr="0F24C384">
        <w:rPr>
          <w:rFonts w:ascii="Cambria" w:eastAsia="Times New Roman" w:hAnsi="Cambria" w:cs="Segoe UI"/>
          <w:color w:val="00B0F0"/>
        </w:rPr>
        <w:t>bradyarrhythmia</w:t>
      </w:r>
    </w:p>
    <w:p w14:paraId="4EE8BF84" w14:textId="1CA3C1F2" w:rsidR="37BF2D97" w:rsidRDefault="37BF2D97" w:rsidP="0F24C384">
      <w:pPr>
        <w:numPr>
          <w:ilvl w:val="0"/>
          <w:numId w:val="143"/>
        </w:numPr>
        <w:spacing w:after="0" w:line="240" w:lineRule="auto"/>
        <w:rPr>
          <w:rFonts w:ascii="Cambria" w:eastAsia="Times New Roman" w:hAnsi="Cambria" w:cs="Segoe UI"/>
          <w:color w:val="00B0F0"/>
        </w:rPr>
      </w:pPr>
      <w:r w:rsidRPr="0F24C384">
        <w:rPr>
          <w:rFonts w:ascii="Cambria" w:eastAsia="Times New Roman" w:hAnsi="Cambria" w:cs="Segoe UI"/>
          <w:color w:val="00B0F0"/>
        </w:rPr>
        <w:t>Schwartz score greater than or equal to 3.5</w:t>
      </w:r>
    </w:p>
    <w:p w14:paraId="5518AFC4" w14:textId="77777777" w:rsidR="0035611D" w:rsidRPr="0035611D" w:rsidRDefault="0035611D" w:rsidP="00A72D41">
      <w:pPr>
        <w:numPr>
          <w:ilvl w:val="0"/>
          <w:numId w:val="143"/>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Other: _______________________________________________________________________________________  </w:t>
      </w:r>
    </w:p>
    <w:p w14:paraId="2F1BE452" w14:textId="77777777" w:rsidR="0035611D" w:rsidRPr="0035611D" w:rsidRDefault="0035611D" w:rsidP="0035611D">
      <w:pPr>
        <w:spacing w:after="0" w:line="240" w:lineRule="auto"/>
        <w:ind w:firstLine="1305"/>
        <w:textAlignment w:val="baseline"/>
        <w:rPr>
          <w:rFonts w:ascii="Segoe UI" w:eastAsia="Times New Roman" w:hAnsi="Segoe UI" w:cs="Segoe UI"/>
          <w:sz w:val="18"/>
          <w:szCs w:val="18"/>
        </w:rPr>
      </w:pPr>
      <w:r w:rsidRPr="0035611D">
        <w:rPr>
          <w:rFonts w:ascii="Cambria" w:eastAsia="Times New Roman" w:hAnsi="Cambria" w:cs="Segoe UI"/>
          <w:color w:val="00B0F0"/>
        </w:rPr>
        <w:t> </w:t>
      </w:r>
    </w:p>
    <w:p w14:paraId="5C12E9C4"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b/>
          <w:bCs/>
        </w:rPr>
        <w:t>The Heart Rhythm Society (HRS) has recognized the clinical utility of genetic testing for hereditary arrhythmias and supports it as standard of care.</w:t>
      </w:r>
      <w:r w:rsidRPr="0035611D">
        <w:rPr>
          <w:rFonts w:ascii="Cambria" w:eastAsia="Times New Roman" w:hAnsi="Cambria" w:cs="Segoe UI"/>
          <w:b/>
          <w:bCs/>
          <w:sz w:val="17"/>
          <w:szCs w:val="17"/>
          <w:vertAlign w:val="superscript"/>
        </w:rPr>
        <w:t>1,6</w:t>
      </w:r>
      <w:r w:rsidRPr="0035611D">
        <w:rPr>
          <w:rFonts w:ascii="Cambria" w:eastAsia="Times New Roman" w:hAnsi="Cambria" w:cs="Segoe UI"/>
        </w:rPr>
        <w:t>  </w:t>
      </w:r>
    </w:p>
    <w:p w14:paraId="56C75183" w14:textId="3898BC5F"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378EE43C" w14:textId="77777777" w:rsidR="0035611D" w:rsidRDefault="0035611D" w:rsidP="0035611D">
      <w:pPr>
        <w:spacing w:after="0" w:line="240" w:lineRule="auto"/>
        <w:textAlignment w:val="baseline"/>
        <w:rPr>
          <w:rFonts w:ascii="Cambria" w:eastAsia="Times New Roman" w:hAnsi="Cambria" w:cs="Segoe UI"/>
          <w:color w:val="00B0F0"/>
        </w:rPr>
      </w:pPr>
      <w:r w:rsidRPr="0035611D">
        <w:rPr>
          <w:rFonts w:ascii="Cambria" w:eastAsia="Times New Roman" w:hAnsi="Cambria" w:cs="Segoe UI"/>
        </w:rPr>
        <w:t>Identification of a mutation through genetic testing confirms a diagnosis of a hereditary arrhythmia syndrome or a predisposition to a hereditary arrhythmia. Genetic testing also informs patient risk stratification, prognosis, screening and treatment options, efforts to prevent complications (such as ICD, beta blockers, or left cardiac sympathetic denervation), and genetic counseling, all of which can vary depending on the specific gene implicated in the disease.</w:t>
      </w:r>
      <w:r w:rsidRPr="0035611D">
        <w:rPr>
          <w:rFonts w:ascii="Cambria" w:eastAsia="Times New Roman" w:hAnsi="Cambria" w:cs="Segoe UI"/>
          <w:sz w:val="17"/>
          <w:szCs w:val="17"/>
          <w:vertAlign w:val="superscript"/>
        </w:rPr>
        <w:t xml:space="preserve"> </w:t>
      </w:r>
      <w:r w:rsidRPr="0035611D">
        <w:rPr>
          <w:rFonts w:ascii="Cambria" w:eastAsia="Times New Roman" w:hAnsi="Cambria" w:cs="Segoe UI"/>
        </w:rPr>
        <w:t>Specifically for this patient, the impact of testing may include</w:t>
      </w:r>
      <w:r w:rsidRPr="0035611D">
        <w:rPr>
          <w:rFonts w:ascii="Cambria" w:eastAsia="Times New Roman" w:hAnsi="Cambria" w:cs="Segoe UI"/>
          <w:sz w:val="17"/>
          <w:szCs w:val="17"/>
          <w:vertAlign w:val="superscript"/>
        </w:rPr>
        <w:t>2,3,4,5,6</w:t>
      </w:r>
      <w:r w:rsidRPr="0035611D">
        <w:rPr>
          <w:rFonts w:ascii="Cambria" w:eastAsia="Times New Roman" w:hAnsi="Cambria" w:cs="Segoe UI"/>
        </w:rPr>
        <w:t xml:space="preserve">: </w:t>
      </w:r>
      <w:r w:rsidRPr="0035611D">
        <w:rPr>
          <w:rFonts w:ascii="Cambria" w:eastAsia="Times New Roman" w:hAnsi="Cambria" w:cs="Segoe UI"/>
          <w:color w:val="00B0F0"/>
        </w:rPr>
        <w:t>[check all that apply] </w:t>
      </w:r>
    </w:p>
    <w:p w14:paraId="33F223E6" w14:textId="77777777" w:rsidR="00FA361D" w:rsidRDefault="00FA361D" w:rsidP="0035611D">
      <w:pPr>
        <w:spacing w:after="0" w:line="240" w:lineRule="auto"/>
        <w:textAlignment w:val="baseline"/>
        <w:rPr>
          <w:rFonts w:ascii="Cambria" w:eastAsia="Times New Roman" w:hAnsi="Cambria" w:cs="Segoe UI"/>
          <w:color w:val="00B0F0"/>
        </w:rPr>
      </w:pPr>
    </w:p>
    <w:p w14:paraId="2A80854A" w14:textId="77777777" w:rsidR="00FA361D" w:rsidRDefault="00FA361D" w:rsidP="0035611D">
      <w:pPr>
        <w:spacing w:after="0" w:line="240" w:lineRule="auto"/>
        <w:textAlignment w:val="baseline"/>
        <w:rPr>
          <w:rFonts w:ascii="Cambria" w:eastAsia="Times New Roman" w:hAnsi="Cambria" w:cs="Segoe UI"/>
          <w:color w:val="00B0F0"/>
        </w:rPr>
      </w:pPr>
    </w:p>
    <w:p w14:paraId="79248F73" w14:textId="77777777" w:rsidR="00FA361D" w:rsidRDefault="00FA361D" w:rsidP="0035611D">
      <w:pPr>
        <w:spacing w:after="0" w:line="240" w:lineRule="auto"/>
        <w:textAlignment w:val="baseline"/>
        <w:rPr>
          <w:rFonts w:ascii="Cambria" w:eastAsia="Times New Roman" w:hAnsi="Cambria" w:cs="Segoe UI"/>
          <w:color w:val="00B0F0"/>
        </w:rPr>
      </w:pPr>
    </w:p>
    <w:p w14:paraId="28DAEC27" w14:textId="77777777" w:rsidR="00FA361D" w:rsidRPr="0035611D" w:rsidRDefault="00FA361D" w:rsidP="0035611D">
      <w:pPr>
        <w:spacing w:after="0" w:line="240" w:lineRule="auto"/>
        <w:textAlignment w:val="baseline"/>
        <w:rPr>
          <w:rFonts w:ascii="Segoe UI" w:eastAsia="Times New Roman" w:hAnsi="Segoe UI" w:cs="Segoe UI"/>
          <w:sz w:val="18"/>
          <w:szCs w:val="18"/>
        </w:rPr>
      </w:pPr>
    </w:p>
    <w:p w14:paraId="7FD69CDF"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Genetic testing could allow immediate management and treatment to anticipate and control common clinical findings based on the results of the testing </w:t>
      </w:r>
    </w:p>
    <w:p w14:paraId="674D175D"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Genetic testing could inform lifestyle modifications for the patient </w:t>
      </w:r>
    </w:p>
    <w:p w14:paraId="13862A79"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Genetic testing could assist in long-term management and monitoring of suspected disease progression based on the results of the testing </w:t>
      </w:r>
    </w:p>
    <w:p w14:paraId="1D1815B6"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Genetic testing could lead to informed decisions for other family members with similar conditions, or that may be at risk for similar conditions </w:t>
      </w:r>
    </w:p>
    <w:p w14:paraId="4005B1F9"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3589628B" w14:textId="77777777" w:rsidR="0035611D" w:rsidRPr="0035611D" w:rsidRDefault="0035611D" w:rsidP="00A72D41">
      <w:pPr>
        <w:numPr>
          <w:ilvl w:val="0"/>
          <w:numId w:val="144"/>
        </w:numPr>
        <w:spacing w:after="0" w:line="240" w:lineRule="auto"/>
        <w:textAlignment w:val="baseline"/>
        <w:rPr>
          <w:rFonts w:ascii="Cambria" w:eastAsia="Times New Roman" w:hAnsi="Cambria" w:cs="Segoe UI"/>
          <w:color w:val="00B0F0"/>
        </w:rPr>
      </w:pPr>
      <w:r w:rsidRPr="0035611D">
        <w:rPr>
          <w:rFonts w:ascii="Cambria" w:eastAsia="Times New Roman" w:hAnsi="Cambria" w:cs="Segoe UI"/>
          <w:color w:val="00B0F0"/>
        </w:rPr>
        <w:t>Other: _______________________________________________________________________________________  </w:t>
      </w:r>
    </w:p>
    <w:p w14:paraId="7296341A"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0759BFD6"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b/>
          <w:bCs/>
        </w:rPr>
        <w:t>Based on the screening, lifestyle, and treatment modifications indicated above, this test has clear clinical utility for my patient.</w:t>
      </w:r>
      <w:r w:rsidRPr="0035611D">
        <w:rPr>
          <w:rFonts w:ascii="Cambria" w:eastAsia="Times New Roman" w:hAnsi="Cambria" w:cs="Segoe UI"/>
        </w:rPr>
        <w:t xml:space="preserve"> Due to the </w:t>
      </w:r>
      <w:r w:rsidRPr="0035611D">
        <w:rPr>
          <w:rFonts w:ascii="Cambria" w:eastAsia="Times New Roman" w:hAnsi="Cambria" w:cs="Segoe UI"/>
          <w:b/>
          <w:bCs/>
        </w:rPr>
        <w:t>risk of sudden cardiac death</w:t>
      </w:r>
      <w:r w:rsidRPr="0035611D">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diagnostic genetic testing for </w:t>
      </w:r>
      <w:proofErr w:type="spellStart"/>
      <w:r w:rsidRPr="0035611D">
        <w:rPr>
          <w:rFonts w:ascii="Cambria" w:eastAsia="Times New Roman" w:hAnsi="Cambria" w:cs="Segoe UI"/>
        </w:rPr>
        <w:t>LongQTNext</w:t>
      </w:r>
      <w:proofErr w:type="spellEnd"/>
      <w:r w:rsidRPr="0035611D">
        <w:rPr>
          <w:rFonts w:ascii="Cambria" w:eastAsia="Times New Roman" w:hAnsi="Cambria" w:cs="Segoe UI"/>
        </w:rPr>
        <w:t xml:space="preserve"> for my patient.  </w:t>
      </w:r>
    </w:p>
    <w:p w14:paraId="192127EC"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28053E89"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Thank you for your time and please don’t hesitate to contact me with any questions.  </w:t>
      </w:r>
    </w:p>
    <w:p w14:paraId="6C3CD147"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743583E1"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Sincerely, </w:t>
      </w:r>
    </w:p>
    <w:p w14:paraId="44114EF1"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670E454C"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298554F8"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color w:val="00B0F0"/>
        </w:rPr>
        <w:t>Ordering Clinician Name</w:t>
      </w:r>
      <w:r w:rsidRPr="0035611D">
        <w:rPr>
          <w:rFonts w:ascii="Cambria" w:eastAsia="Times New Roman" w:hAnsi="Cambria" w:cs="Segoe UI"/>
        </w:rPr>
        <w:t xml:space="preserve"> (Signature Provided on Test Requisition Form)  </w:t>
      </w:r>
    </w:p>
    <w:p w14:paraId="7B197832"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(MD/DO, Clinical Nurse Specialist, Nurse-Midwives, Nurse Practitioner, Physician Assistant, Genetic Counselor*)  </w:t>
      </w:r>
    </w:p>
    <w:p w14:paraId="1B2508A8"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76C9DD7C"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*Authorized clinician requirements vary by state  </w:t>
      </w:r>
    </w:p>
    <w:p w14:paraId="3942D0B0"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534CC67B"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b/>
          <w:bCs/>
        </w:rPr>
        <w:t>Test Details</w:t>
      </w:r>
      <w:r w:rsidRPr="0035611D">
        <w:rPr>
          <w:rFonts w:ascii="Cambria" w:eastAsia="Times New Roman" w:hAnsi="Cambria" w:cs="Segoe UI"/>
        </w:rPr>
        <w:t> </w:t>
      </w:r>
    </w:p>
    <w:p w14:paraId="43672EA8"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6875B1EE" w14:textId="201389A2"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Test Name:</w:t>
      </w:r>
      <w:r w:rsidR="00FD7603" w:rsidRPr="00FD7603">
        <w:rPr>
          <w:rFonts w:ascii="Cambria" w:eastAsia="Times New Roman" w:hAnsi="Cambria" w:cs="Segoe UI"/>
        </w:rPr>
        <w:tab/>
      </w:r>
      <w:proofErr w:type="spellStart"/>
      <w:r w:rsidRPr="0035611D">
        <w:rPr>
          <w:rFonts w:ascii="Cambria" w:eastAsia="Times New Roman" w:hAnsi="Cambria" w:cs="Segoe UI"/>
        </w:rPr>
        <w:t>LongQTNext</w:t>
      </w:r>
      <w:proofErr w:type="spellEnd"/>
      <w:r w:rsidRPr="0035611D">
        <w:rPr>
          <w:rFonts w:ascii="Cambria" w:eastAsia="Times New Roman" w:hAnsi="Cambria" w:cs="Segoe UI"/>
        </w:rPr>
        <w:t> </w:t>
      </w:r>
    </w:p>
    <w:p w14:paraId="0637DB92"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w:t>
      </w:r>
    </w:p>
    <w:p w14:paraId="27EF16EE" w14:textId="11202F4B"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Cambria" w:eastAsia="Times New Roman" w:hAnsi="Cambria" w:cs="Segoe UI"/>
        </w:rPr>
        <w:t xml:space="preserve">CPT codes: </w:t>
      </w:r>
      <w:r w:rsidR="00FD7603" w:rsidRPr="00FD7603">
        <w:rPr>
          <w:rFonts w:ascii="Cambria" w:eastAsia="Times New Roman" w:hAnsi="Cambria" w:cs="Segoe UI"/>
        </w:rPr>
        <w:tab/>
      </w:r>
      <w:r w:rsidRPr="0035611D">
        <w:rPr>
          <w:rFonts w:ascii="Cambria" w:eastAsia="Times New Roman" w:hAnsi="Cambria" w:cs="Segoe UI"/>
        </w:rPr>
        <w:t>81479 </w:t>
      </w:r>
    </w:p>
    <w:p w14:paraId="1A4F665B" w14:textId="77777777" w:rsidR="0035611D" w:rsidRPr="0035611D" w:rsidRDefault="0035611D" w:rsidP="0035611D">
      <w:pPr>
        <w:spacing w:after="0" w:line="240" w:lineRule="auto"/>
        <w:ind w:left="1440" w:hanging="1440"/>
        <w:textAlignment w:val="baseline"/>
        <w:rPr>
          <w:rFonts w:ascii="Segoe UI" w:eastAsia="Times New Roman" w:hAnsi="Segoe UI" w:cs="Segoe UI"/>
          <w:sz w:val="18"/>
          <w:szCs w:val="18"/>
        </w:rPr>
      </w:pPr>
      <w:r w:rsidRPr="0035611D">
        <w:rPr>
          <w:rFonts w:ascii="Cambria" w:eastAsia="Times New Roman" w:hAnsi="Cambria" w:cs="Segoe UI"/>
        </w:rPr>
        <w:t> </w:t>
      </w:r>
    </w:p>
    <w:p w14:paraId="3D4F6B1D" w14:textId="724582EE" w:rsidR="0035611D" w:rsidRPr="0035611D" w:rsidRDefault="0035611D" w:rsidP="00FD7603">
      <w:pPr>
        <w:spacing w:after="0" w:line="240" w:lineRule="auto"/>
        <w:ind w:left="1440" w:hanging="1440"/>
        <w:textAlignment w:val="baseline"/>
        <w:rPr>
          <w:rFonts w:ascii="Segoe UI" w:eastAsia="Times New Roman" w:hAnsi="Segoe UI" w:cs="Segoe UI"/>
          <w:sz w:val="18"/>
          <w:szCs w:val="18"/>
        </w:rPr>
      </w:pPr>
      <w:r w:rsidRPr="0035611D">
        <w:rPr>
          <w:rFonts w:ascii="Cambria" w:eastAsia="Times New Roman" w:hAnsi="Cambria" w:cs="Segoe UI"/>
        </w:rPr>
        <w:t xml:space="preserve">Laboratory: </w:t>
      </w:r>
      <w:r w:rsidR="00FD7603">
        <w:rPr>
          <w:rFonts w:ascii="Cambria" w:eastAsia="Times New Roman" w:hAnsi="Cambria" w:cs="Segoe UI"/>
        </w:rPr>
        <w:tab/>
      </w:r>
      <w:r w:rsidRPr="0035611D">
        <w:rPr>
          <w:rFonts w:ascii="Cambria" w:eastAsia="Times New Roman" w:hAnsi="Cambria" w:cs="Segoe UI"/>
        </w:rPr>
        <w:t>Ambry Genetics Corporation (TIN 33-0892453 / NPI 1861568784), a CAP-accredited and CLIA-certified laboratory located at 7 Argonaut, Aliso Viejo, CA 92656 </w:t>
      </w:r>
    </w:p>
    <w:p w14:paraId="2ACD1379" w14:textId="77777777" w:rsidR="0035611D" w:rsidRPr="0035611D" w:rsidRDefault="0035611D" w:rsidP="0035611D">
      <w:pPr>
        <w:spacing w:after="0" w:line="240" w:lineRule="auto"/>
        <w:textAlignment w:val="baseline"/>
        <w:rPr>
          <w:rFonts w:ascii="Segoe UI" w:eastAsia="Times New Roman" w:hAnsi="Segoe UI" w:cs="Segoe UI"/>
          <w:sz w:val="18"/>
          <w:szCs w:val="18"/>
        </w:rPr>
      </w:pPr>
      <w:r w:rsidRPr="0035611D">
        <w:rPr>
          <w:rFonts w:ascii="Segoe UI" w:eastAsia="Times New Roman" w:hAnsi="Segoe UI" w:cs="Segoe UI"/>
          <w:color w:val="666666"/>
          <w:sz w:val="18"/>
          <w:szCs w:val="18"/>
          <w:shd w:val="clear" w:color="auto" w:fill="FFFFFF"/>
        </w:rPr>
        <w:t> </w:t>
      </w:r>
      <w:r w:rsidRPr="0035611D">
        <w:rPr>
          <w:rFonts w:ascii="Calibri" w:eastAsia="Times New Roman" w:hAnsi="Calibri" w:cs="Calibri"/>
        </w:rPr>
        <w:t> </w:t>
      </w:r>
    </w:p>
    <w:p w14:paraId="1870DDEE" w14:textId="6D238A33" w:rsidR="0035611D" w:rsidRDefault="0035611D" w:rsidP="0035611D">
      <w:pPr>
        <w:spacing w:after="0" w:line="240" w:lineRule="auto"/>
        <w:textAlignment w:val="baseline"/>
        <w:rPr>
          <w:rFonts w:ascii="Cambria" w:eastAsia="Times New Roman" w:hAnsi="Cambria" w:cs="Segoe UI"/>
          <w:b/>
          <w:bCs/>
        </w:rPr>
      </w:pPr>
      <w:r w:rsidRPr="0035611D">
        <w:rPr>
          <w:rFonts w:ascii="Cambria" w:eastAsia="Times New Roman" w:hAnsi="Cambria" w:cs="Segoe UI"/>
          <w:b/>
          <w:bCs/>
        </w:rPr>
        <w:t>References</w:t>
      </w:r>
    </w:p>
    <w:p w14:paraId="0779C16A" w14:textId="77777777" w:rsidR="001006ED" w:rsidRPr="0035611D" w:rsidRDefault="001006ED" w:rsidP="0035611D">
      <w:pPr>
        <w:spacing w:after="0" w:line="240" w:lineRule="auto"/>
        <w:textAlignment w:val="baseline"/>
        <w:rPr>
          <w:rFonts w:ascii="Segoe UI" w:eastAsia="Times New Roman" w:hAnsi="Segoe UI" w:cs="Segoe UI"/>
          <w:b/>
          <w:bCs/>
          <w:sz w:val="18"/>
          <w:szCs w:val="18"/>
        </w:rPr>
      </w:pPr>
    </w:p>
    <w:p w14:paraId="3CFEA630" w14:textId="77777777" w:rsidR="0035611D" w:rsidRPr="0035611D" w:rsidRDefault="0035611D" w:rsidP="00A72D41">
      <w:pPr>
        <w:numPr>
          <w:ilvl w:val="0"/>
          <w:numId w:val="137"/>
        </w:numPr>
        <w:tabs>
          <w:tab w:val="clear" w:pos="720"/>
          <w:tab w:val="num" w:pos="360"/>
        </w:tabs>
        <w:spacing w:after="0" w:line="240" w:lineRule="auto"/>
        <w:ind w:left="360"/>
        <w:textAlignment w:val="baseline"/>
        <w:rPr>
          <w:rFonts w:ascii="Cambria" w:eastAsia="Times New Roman" w:hAnsi="Cambria" w:cs="Segoe UI"/>
          <w:sz w:val="16"/>
          <w:szCs w:val="16"/>
        </w:rPr>
      </w:pPr>
      <w:r w:rsidRPr="0035611D">
        <w:rPr>
          <w:rFonts w:ascii="Cambria" w:eastAsia="Times New Roman" w:hAnsi="Cambria" w:cs="Segoe UI"/>
          <w:sz w:val="16"/>
          <w:szCs w:val="16"/>
          <w:shd w:val="clear" w:color="auto" w:fill="FFFFFF"/>
        </w:rPr>
        <w:t xml:space="preserve">Ackerman MJ, et al. HRS/EHRA expert consensus statement on the state of genetic testing for the channelopathies and cardiomyopathies. </w:t>
      </w:r>
      <w:hyperlink r:id="rId10" w:tgtFrame="_blank" w:history="1">
        <w:r w:rsidRPr="0035611D">
          <w:rPr>
            <w:rFonts w:ascii="Cambria" w:eastAsia="Times New Roman" w:hAnsi="Cambria" w:cs="Segoe UI"/>
            <w:sz w:val="16"/>
            <w:szCs w:val="16"/>
            <w:u w:val="single"/>
            <w:shd w:val="clear" w:color="auto" w:fill="FFFFFF"/>
          </w:rPr>
          <w:t>Heart Rhythm.</w:t>
        </w:r>
      </w:hyperlink>
      <w:r w:rsidRPr="0035611D">
        <w:rPr>
          <w:rFonts w:ascii="Cambria" w:eastAsia="Times New Roman" w:hAnsi="Cambria" w:cs="Segoe UI"/>
          <w:sz w:val="16"/>
          <w:szCs w:val="16"/>
          <w:shd w:val="clear" w:color="auto" w:fill="FFFFFF"/>
        </w:rPr>
        <w:t> 2011 Aug;8(8):1308-39.</w:t>
      </w:r>
      <w:r w:rsidRPr="0035611D">
        <w:rPr>
          <w:rFonts w:ascii="Cambria" w:eastAsia="Times New Roman" w:hAnsi="Cambria" w:cs="Segoe UI"/>
          <w:sz w:val="16"/>
          <w:szCs w:val="16"/>
        </w:rPr>
        <w:t> </w:t>
      </w:r>
    </w:p>
    <w:p w14:paraId="103A5828" w14:textId="77777777" w:rsidR="0035611D" w:rsidRPr="0035611D" w:rsidRDefault="0035611D" w:rsidP="00A72D41">
      <w:pPr>
        <w:numPr>
          <w:ilvl w:val="0"/>
          <w:numId w:val="138"/>
        </w:numPr>
        <w:tabs>
          <w:tab w:val="clear" w:pos="720"/>
          <w:tab w:val="num" w:pos="360"/>
        </w:tabs>
        <w:spacing w:after="0" w:line="240" w:lineRule="auto"/>
        <w:ind w:left="360"/>
        <w:textAlignment w:val="baseline"/>
        <w:rPr>
          <w:rFonts w:ascii="Cambria" w:eastAsia="Times New Roman" w:hAnsi="Cambria" w:cs="Segoe UI"/>
          <w:sz w:val="16"/>
          <w:szCs w:val="16"/>
        </w:rPr>
      </w:pPr>
      <w:r w:rsidRPr="0035611D">
        <w:rPr>
          <w:rFonts w:ascii="Cambria" w:eastAsia="Times New Roman" w:hAnsi="Cambria" w:cs="Segoe UI"/>
          <w:sz w:val="16"/>
          <w:szCs w:val="16"/>
          <w:shd w:val="clear" w:color="auto" w:fill="FFFFFF"/>
        </w:rPr>
        <w:t xml:space="preserve">Schwartz PJ, et al. Impact of genetics on the clinical management of channelopathies. </w:t>
      </w:r>
      <w:r w:rsidRPr="0035611D">
        <w:rPr>
          <w:rFonts w:ascii="Cambria" w:eastAsia="Times New Roman" w:hAnsi="Cambria" w:cs="Segoe UI"/>
          <w:sz w:val="16"/>
          <w:szCs w:val="16"/>
          <w:u w:val="single"/>
          <w:shd w:val="clear" w:color="auto" w:fill="FFFFFF"/>
        </w:rPr>
        <w:t xml:space="preserve">J Am Coll </w:t>
      </w:r>
      <w:proofErr w:type="spellStart"/>
      <w:r w:rsidRPr="0035611D">
        <w:rPr>
          <w:rFonts w:ascii="Cambria" w:eastAsia="Times New Roman" w:hAnsi="Cambria" w:cs="Segoe UI"/>
          <w:sz w:val="16"/>
          <w:szCs w:val="16"/>
          <w:u w:val="single"/>
          <w:shd w:val="clear" w:color="auto" w:fill="FFFFFF"/>
        </w:rPr>
        <w:t>Cardiol</w:t>
      </w:r>
      <w:proofErr w:type="spellEnd"/>
      <w:r w:rsidRPr="0035611D">
        <w:rPr>
          <w:rFonts w:ascii="Cambria" w:eastAsia="Times New Roman" w:hAnsi="Cambria" w:cs="Segoe UI"/>
          <w:sz w:val="16"/>
          <w:szCs w:val="16"/>
          <w:u w:val="single"/>
          <w:shd w:val="clear" w:color="auto" w:fill="FFFFFF"/>
        </w:rPr>
        <w:t>.</w:t>
      </w:r>
      <w:r w:rsidRPr="0035611D">
        <w:rPr>
          <w:rFonts w:ascii="Cambria" w:eastAsia="Times New Roman" w:hAnsi="Cambria" w:cs="Segoe UI"/>
          <w:sz w:val="16"/>
          <w:szCs w:val="16"/>
          <w:shd w:val="clear" w:color="auto" w:fill="FFFFFF"/>
        </w:rPr>
        <w:t xml:space="preserve"> 2013;62:169-180.</w:t>
      </w:r>
      <w:r w:rsidRPr="0035611D">
        <w:rPr>
          <w:rFonts w:ascii="Cambria" w:eastAsia="Times New Roman" w:hAnsi="Cambria" w:cs="Segoe UI"/>
          <w:sz w:val="16"/>
          <w:szCs w:val="16"/>
        </w:rPr>
        <w:t> </w:t>
      </w:r>
    </w:p>
    <w:p w14:paraId="2954AC68" w14:textId="77777777" w:rsidR="0035611D" w:rsidRPr="0035611D" w:rsidRDefault="0035611D" w:rsidP="00A72D41">
      <w:pPr>
        <w:numPr>
          <w:ilvl w:val="0"/>
          <w:numId w:val="139"/>
        </w:numPr>
        <w:tabs>
          <w:tab w:val="clear" w:pos="720"/>
          <w:tab w:val="num" w:pos="360"/>
        </w:tabs>
        <w:spacing w:after="0" w:line="240" w:lineRule="auto"/>
        <w:ind w:left="360"/>
        <w:textAlignment w:val="baseline"/>
        <w:rPr>
          <w:rFonts w:ascii="Cambria" w:eastAsia="Times New Roman" w:hAnsi="Cambria" w:cs="Segoe UI"/>
          <w:sz w:val="16"/>
          <w:szCs w:val="16"/>
        </w:rPr>
      </w:pPr>
      <w:r w:rsidRPr="0035611D">
        <w:rPr>
          <w:rFonts w:ascii="Cambria" w:eastAsia="Times New Roman" w:hAnsi="Cambria" w:cs="Segoe UI"/>
          <w:sz w:val="16"/>
          <w:szCs w:val="16"/>
          <w:shd w:val="clear" w:color="auto" w:fill="FFFFFF"/>
        </w:rPr>
        <w:t xml:space="preserve">Schwartz PJ and Ackerman MJ. The long QT syndrome: a transatlantic clinical approach to diagnosis and therapy. </w:t>
      </w:r>
      <w:proofErr w:type="spellStart"/>
      <w:r w:rsidRPr="0035611D">
        <w:rPr>
          <w:rFonts w:ascii="Cambria" w:eastAsia="Times New Roman" w:hAnsi="Cambria" w:cs="Segoe UI"/>
          <w:sz w:val="16"/>
          <w:szCs w:val="16"/>
          <w:u w:val="single"/>
          <w:shd w:val="clear" w:color="auto" w:fill="FFFFFF"/>
        </w:rPr>
        <w:t>Eur</w:t>
      </w:r>
      <w:proofErr w:type="spellEnd"/>
      <w:r w:rsidRPr="0035611D">
        <w:rPr>
          <w:rFonts w:ascii="Cambria" w:eastAsia="Times New Roman" w:hAnsi="Cambria" w:cs="Segoe UI"/>
          <w:sz w:val="16"/>
          <w:szCs w:val="16"/>
          <w:u w:val="single"/>
          <w:shd w:val="clear" w:color="auto" w:fill="FFFFFF"/>
        </w:rPr>
        <w:t xml:space="preserve"> Heart J</w:t>
      </w:r>
      <w:r w:rsidRPr="0035611D">
        <w:rPr>
          <w:rFonts w:ascii="Cambria" w:eastAsia="Times New Roman" w:hAnsi="Cambria" w:cs="Segoe UI"/>
          <w:sz w:val="16"/>
          <w:szCs w:val="16"/>
          <w:shd w:val="clear" w:color="auto" w:fill="FFFFFF"/>
        </w:rPr>
        <w:t>. 2013;34:3109-3116.</w:t>
      </w:r>
      <w:r w:rsidRPr="0035611D">
        <w:rPr>
          <w:rFonts w:ascii="Cambria" w:eastAsia="Times New Roman" w:hAnsi="Cambria" w:cs="Segoe UI"/>
          <w:sz w:val="16"/>
          <w:szCs w:val="16"/>
        </w:rPr>
        <w:t> </w:t>
      </w:r>
    </w:p>
    <w:p w14:paraId="3066DC43" w14:textId="77777777" w:rsidR="0035611D" w:rsidRPr="0035611D" w:rsidRDefault="0035611D" w:rsidP="00A72D41">
      <w:pPr>
        <w:numPr>
          <w:ilvl w:val="0"/>
          <w:numId w:val="140"/>
        </w:numPr>
        <w:tabs>
          <w:tab w:val="clear" w:pos="720"/>
          <w:tab w:val="num" w:pos="360"/>
        </w:tabs>
        <w:spacing w:after="0" w:line="240" w:lineRule="auto"/>
        <w:ind w:left="360"/>
        <w:textAlignment w:val="baseline"/>
        <w:rPr>
          <w:rFonts w:ascii="Cambria" w:eastAsia="Times New Roman" w:hAnsi="Cambria" w:cs="Segoe UI"/>
          <w:sz w:val="16"/>
          <w:szCs w:val="16"/>
        </w:rPr>
      </w:pPr>
      <w:proofErr w:type="spellStart"/>
      <w:r w:rsidRPr="0035611D">
        <w:rPr>
          <w:rFonts w:ascii="Cambria" w:eastAsia="Times New Roman" w:hAnsi="Cambria" w:cs="Segoe UI"/>
          <w:sz w:val="16"/>
          <w:szCs w:val="16"/>
          <w:shd w:val="clear" w:color="auto" w:fill="FFFFFF"/>
        </w:rPr>
        <w:t>Giudicessi</w:t>
      </w:r>
      <w:proofErr w:type="spellEnd"/>
      <w:r w:rsidRPr="0035611D">
        <w:rPr>
          <w:rFonts w:ascii="Cambria" w:eastAsia="Times New Roman" w:hAnsi="Cambria" w:cs="Segoe UI"/>
          <w:sz w:val="16"/>
          <w:szCs w:val="16"/>
          <w:shd w:val="clear" w:color="auto" w:fill="FFFFFF"/>
        </w:rPr>
        <w:t xml:space="preserve"> JR and Ackerman MJ. Genotype- and phenotype-guided management of congenital long QT syndrome. </w:t>
      </w:r>
      <w:r w:rsidRPr="0035611D">
        <w:rPr>
          <w:rFonts w:ascii="Cambria" w:eastAsia="Times New Roman" w:hAnsi="Cambria" w:cs="Segoe UI"/>
          <w:sz w:val="16"/>
          <w:szCs w:val="16"/>
          <w:u w:val="single"/>
          <w:shd w:val="clear" w:color="auto" w:fill="FFFFFF"/>
        </w:rPr>
        <w:t xml:space="preserve">Curr </w:t>
      </w:r>
      <w:proofErr w:type="spellStart"/>
      <w:r w:rsidRPr="0035611D">
        <w:rPr>
          <w:rFonts w:ascii="Cambria" w:eastAsia="Times New Roman" w:hAnsi="Cambria" w:cs="Segoe UI"/>
          <w:sz w:val="16"/>
          <w:szCs w:val="16"/>
          <w:u w:val="single"/>
          <w:shd w:val="clear" w:color="auto" w:fill="FFFFFF"/>
        </w:rPr>
        <w:t>Probl</w:t>
      </w:r>
      <w:proofErr w:type="spellEnd"/>
      <w:r w:rsidRPr="0035611D">
        <w:rPr>
          <w:rFonts w:ascii="Cambria" w:eastAsia="Times New Roman" w:hAnsi="Cambria" w:cs="Segoe UI"/>
          <w:sz w:val="16"/>
          <w:szCs w:val="16"/>
          <w:u w:val="single"/>
          <w:shd w:val="clear" w:color="auto" w:fill="FFFFFF"/>
        </w:rPr>
        <w:t xml:space="preserve"> </w:t>
      </w:r>
      <w:proofErr w:type="spellStart"/>
      <w:r w:rsidRPr="0035611D">
        <w:rPr>
          <w:rFonts w:ascii="Cambria" w:eastAsia="Times New Roman" w:hAnsi="Cambria" w:cs="Segoe UI"/>
          <w:sz w:val="16"/>
          <w:szCs w:val="16"/>
          <w:u w:val="single"/>
          <w:shd w:val="clear" w:color="auto" w:fill="FFFFFF"/>
        </w:rPr>
        <w:t>Cardiol</w:t>
      </w:r>
      <w:proofErr w:type="spellEnd"/>
      <w:r w:rsidRPr="0035611D">
        <w:rPr>
          <w:rFonts w:ascii="Cambria" w:eastAsia="Times New Roman" w:hAnsi="Cambria" w:cs="Segoe UI"/>
          <w:sz w:val="16"/>
          <w:szCs w:val="16"/>
          <w:u w:val="single"/>
          <w:shd w:val="clear" w:color="auto" w:fill="FFFFFF"/>
        </w:rPr>
        <w:t>.</w:t>
      </w:r>
      <w:r w:rsidRPr="0035611D">
        <w:rPr>
          <w:rFonts w:ascii="Cambria" w:eastAsia="Times New Roman" w:hAnsi="Cambria" w:cs="Segoe UI"/>
          <w:sz w:val="16"/>
          <w:szCs w:val="16"/>
          <w:shd w:val="clear" w:color="auto" w:fill="FFFFFF"/>
        </w:rPr>
        <w:t xml:space="preserve"> 2013;38:417-455.</w:t>
      </w:r>
      <w:r w:rsidRPr="0035611D">
        <w:rPr>
          <w:rFonts w:ascii="Cambria" w:eastAsia="Times New Roman" w:hAnsi="Cambria" w:cs="Segoe UI"/>
          <w:sz w:val="16"/>
          <w:szCs w:val="16"/>
        </w:rPr>
        <w:t> </w:t>
      </w:r>
    </w:p>
    <w:p w14:paraId="751CBEF1" w14:textId="77777777" w:rsidR="0035611D" w:rsidRPr="0035611D" w:rsidRDefault="0035611D" w:rsidP="00A72D41">
      <w:pPr>
        <w:numPr>
          <w:ilvl w:val="0"/>
          <w:numId w:val="141"/>
        </w:numPr>
        <w:tabs>
          <w:tab w:val="clear" w:pos="720"/>
          <w:tab w:val="num" w:pos="360"/>
        </w:tabs>
        <w:spacing w:after="0" w:line="240" w:lineRule="auto"/>
        <w:ind w:left="360"/>
        <w:textAlignment w:val="baseline"/>
        <w:rPr>
          <w:rFonts w:ascii="Cambria" w:eastAsia="Times New Roman" w:hAnsi="Cambria" w:cs="Segoe UI"/>
          <w:sz w:val="16"/>
          <w:szCs w:val="16"/>
        </w:rPr>
      </w:pPr>
      <w:r w:rsidRPr="0035611D">
        <w:rPr>
          <w:rFonts w:ascii="Cambria" w:eastAsia="Times New Roman" w:hAnsi="Cambria" w:cs="Segoe UI"/>
          <w:sz w:val="16"/>
          <w:szCs w:val="16"/>
        </w:rPr>
        <w:t xml:space="preserve">Musunuru K, et al. Genetic Testing for Inherited Cardiovascular Diseases: Scientific Statement From the American Heart Association. </w:t>
      </w:r>
      <w:r w:rsidRPr="0035611D">
        <w:rPr>
          <w:rFonts w:ascii="Cambria" w:eastAsia="Times New Roman" w:hAnsi="Cambria" w:cs="Segoe UI"/>
          <w:sz w:val="16"/>
          <w:szCs w:val="16"/>
          <w:u w:val="single"/>
        </w:rPr>
        <w:t>Circulation.</w:t>
      </w:r>
      <w:r w:rsidRPr="0035611D">
        <w:rPr>
          <w:rFonts w:ascii="Cambria" w:eastAsia="Times New Roman" w:hAnsi="Cambria" w:cs="Segoe UI"/>
          <w:sz w:val="16"/>
          <w:szCs w:val="16"/>
        </w:rPr>
        <w:t xml:space="preserve"> 2020;13(4):e000067. </w:t>
      </w:r>
    </w:p>
    <w:p w14:paraId="6AD62420" w14:textId="77777777" w:rsidR="0035611D" w:rsidRPr="0035611D" w:rsidRDefault="0035611D" w:rsidP="00A72D41">
      <w:pPr>
        <w:numPr>
          <w:ilvl w:val="0"/>
          <w:numId w:val="142"/>
        </w:numPr>
        <w:tabs>
          <w:tab w:val="clear" w:pos="720"/>
          <w:tab w:val="num" w:pos="360"/>
        </w:tabs>
        <w:spacing w:after="0" w:line="240" w:lineRule="auto"/>
        <w:ind w:left="360"/>
        <w:textAlignment w:val="baseline"/>
        <w:rPr>
          <w:rFonts w:ascii="Cambria" w:eastAsia="Times New Roman" w:hAnsi="Cambria" w:cs="Segoe UI"/>
          <w:sz w:val="16"/>
          <w:szCs w:val="16"/>
        </w:rPr>
      </w:pPr>
      <w:r w:rsidRPr="0035611D">
        <w:rPr>
          <w:rFonts w:ascii="Cambria" w:eastAsia="Times New Roman" w:hAnsi="Cambria" w:cs="Segoe UI"/>
          <w:sz w:val="16"/>
          <w:szCs w:val="16"/>
        </w:rPr>
        <w:t xml:space="preserve">Wilde AAM, et al. European Heart Rhythm Association (EHRA)/Heart Rhythm Society (HRS)/Asia Pacific Heart Rhythm Society (APHRS)/Latin American Heart Rhythm Society (LAHRS) Expert Consensus Statement on the state of genetic testing for cardiac diseases. </w:t>
      </w:r>
      <w:r w:rsidRPr="0035611D">
        <w:rPr>
          <w:rFonts w:ascii="Cambria" w:eastAsia="Times New Roman" w:hAnsi="Cambria" w:cs="Segoe UI"/>
          <w:color w:val="000000"/>
          <w:sz w:val="16"/>
          <w:szCs w:val="16"/>
        </w:rPr>
        <w:t>Heart Rhythm. 2022 Jul;19(7</w:t>
      </w:r>
      <w:r w:rsidRPr="0035611D">
        <w:rPr>
          <w:rFonts w:ascii="Cambria" w:eastAsia="Times New Roman" w:hAnsi="Cambria" w:cs="Segoe UI"/>
          <w:sz w:val="16"/>
          <w:szCs w:val="16"/>
        </w:rPr>
        <w:t>):e1-e60.</w:t>
      </w:r>
      <w:r w:rsidRPr="0035611D">
        <w:rPr>
          <w:rFonts w:ascii="Cambria" w:eastAsia="Times New Roman" w:hAnsi="Cambria" w:cs="Segoe UI"/>
          <w:color w:val="000000"/>
          <w:sz w:val="16"/>
          <w:szCs w:val="16"/>
        </w:rPr>
        <w:t> </w:t>
      </w:r>
      <w:r w:rsidRPr="0035611D">
        <w:rPr>
          <w:rFonts w:ascii="Cambria" w:eastAsia="Times New Roman" w:hAnsi="Cambria" w:cs="Segoe UI"/>
          <w:sz w:val="16"/>
          <w:szCs w:val="16"/>
        </w:rPr>
        <w:t>  </w:t>
      </w:r>
    </w:p>
    <w:p w14:paraId="2885FD76" w14:textId="07DFB831" w:rsidR="00FA361D" w:rsidRPr="00875693" w:rsidRDefault="00FA361D" w:rsidP="00875693">
      <w:pPr>
        <w:rPr>
          <w:rFonts w:ascii="Cambria" w:eastAsia="Times New Roman" w:hAnsi="Cambria" w:cs="Segoe UI"/>
          <w:sz w:val="16"/>
          <w:szCs w:val="16"/>
        </w:rPr>
      </w:pPr>
    </w:p>
    <w:sectPr w:rsidR="00FA361D" w:rsidRPr="00875693" w:rsidSect="00DB712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875693"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875693"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75693"/>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D698A"/>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cbi.nlm.nih.gov/pubmed/?term=217879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184E4-11D1-42BF-900E-BD692C40F37E}"/>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5072</Characters>
  <Application>Microsoft Office Word</Application>
  <DocSecurity>0</DocSecurity>
  <Lines>105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2025-10-21T17:50:00Z</dcterms:created>
  <dcterms:modified xsi:type="dcterms:W3CDTF">2025-10-21T17:50:00Z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